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FD6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-218" w:leftChars="-99" w:right="0" w:firstLine="618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  <w14:ligatures w14:val="standardContextual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成都市成华区中医医院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  <w14:ligatures w14:val="standardContextual"/>
        </w:rPr>
        <w:t>关于</w:t>
      </w:r>
    </w:p>
    <w:p w14:paraId="27FD337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-218" w:leftChars="-99" w:right="0" w:firstLine="618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  <w14:ligatures w14:val="standardContextual"/>
        </w:rPr>
        <w:t>信息系统及分布式存储的市场调研公告</w:t>
      </w:r>
    </w:p>
    <w:p w14:paraId="1224324B">
      <w:pPr>
        <w:spacing w:line="360" w:lineRule="auto"/>
        <w:ind w:firstLine="560" w:firstLineChars="200"/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sz w:val="28"/>
          <w:szCs w:val="28"/>
        </w:rPr>
      </w:pPr>
    </w:p>
    <w:p w14:paraId="12477C9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560" w:firstLineChars="200"/>
        <w:jc w:val="left"/>
        <w:textAlignment w:val="baseline"/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  <w:t>我院现对信息系统和分布式存储进行市场调研</w:t>
      </w: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，公开征集相关资料，请有相关产品及信息且具有合法合格资质的供应商积极参与，相关事宜公告如下：</w:t>
      </w:r>
    </w:p>
    <w:p w14:paraId="7A469F0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637" w:leftChars="0" w:right="0" w:firstLine="0" w:firstLineChars="0"/>
        <w:jc w:val="left"/>
        <w:textAlignment w:val="baseline"/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sz w:val="28"/>
          <w:szCs w:val="28"/>
          <w:lang w:val="en-US" w:eastAsia="zh-CN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调研内容：信息系统、分布式存储</w:t>
      </w:r>
    </w:p>
    <w:p w14:paraId="3210369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rightChars="0" w:firstLine="560" w:firstLineChars="200"/>
        <w:jc w:val="left"/>
        <w:textAlignment w:val="baseline"/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二、相关要求</w:t>
      </w:r>
    </w:p>
    <w:p w14:paraId="5B61D6D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560" w:firstLineChars="200"/>
        <w:jc w:val="left"/>
        <w:textAlignment w:val="baseline"/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1.递交方式：</w:t>
      </w:r>
      <w:r>
        <w:rPr>
          <w:rFonts w:ascii="方正仿宋简体" w:hAnsi="方正仿宋简体" w:eastAsia="方正仿宋简体" w:cs="方正仿宋简体"/>
          <w:i w:val="0"/>
          <w:iCs w:val="0"/>
          <w:caps w:val="0"/>
          <w:color w:val="000000"/>
          <w:spacing w:val="7"/>
          <w:sz w:val="28"/>
          <w:szCs w:val="28"/>
          <w:shd w:val="clear" w:fill="FFFFFF"/>
        </w:rPr>
        <w:t>仅接受电子版资料线上报送，不接收纸质现场递交。参与单位将全套资料压缩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7"/>
          <w:sz w:val="28"/>
          <w:szCs w:val="28"/>
          <w:shd w:val="clear" w:fill="FFFFFF"/>
          <w:lang w:eastAsia="zh-CN"/>
        </w:rPr>
        <w:t>，</w:t>
      </w:r>
      <w:r>
        <w:rPr>
          <w:rFonts w:ascii="方正仿宋简体" w:hAnsi="方正仿宋简体" w:eastAsia="方正仿宋简体" w:cs="方正仿宋简体"/>
          <w:i w:val="0"/>
          <w:iCs w:val="0"/>
          <w:caps w:val="0"/>
          <w:color w:val="000000"/>
          <w:spacing w:val="7"/>
          <w:sz w:val="28"/>
          <w:szCs w:val="28"/>
          <w:shd w:val="clear" w:fill="FFFFFF"/>
        </w:rPr>
        <w:t>打包规范邮件名称：【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7"/>
          <w:sz w:val="28"/>
          <w:szCs w:val="28"/>
          <w:shd w:val="clear" w:fill="FFFFFF"/>
          <w:lang w:val="en-US" w:eastAsia="zh-CN"/>
        </w:rPr>
        <w:t>成都市成华区中医医院xxx市场调研】+公司全称+联系人，</w:t>
      </w: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提交至邮箱：</w:t>
      </w: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fldChar w:fldCharType="begin"/>
      </w: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instrText xml:space="preserve"> HYPERLINK "mailto:chqzyyy@163.com。" </w:instrText>
      </w: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Style w:val="7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chqzyyy@163.com。</w:t>
      </w: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fldChar w:fldCharType="end"/>
      </w:r>
    </w:p>
    <w:p w14:paraId="1D99BAE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560" w:firstLineChars="200"/>
        <w:jc w:val="left"/>
        <w:textAlignment w:val="baseline"/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2.递交资料时间：公告发布之日起至2026年10月16日17时，逾期不再接收资料。</w:t>
      </w:r>
    </w:p>
    <w:p w14:paraId="41AC316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560" w:firstLineChars="200"/>
        <w:jc w:val="left"/>
        <w:textAlignment w:val="baseline"/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3.递交内容：请各潜在供应商严格按照以下内容提交资料（PDF格式）。</w:t>
      </w:r>
    </w:p>
    <w:p w14:paraId="5F05D7E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560" w:firstLineChars="200"/>
        <w:jc w:val="left"/>
        <w:textAlignment w:val="baseline"/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3.1封面（项目名称、公司名称、联系人、联系方式）。</w:t>
      </w:r>
    </w:p>
    <w:p w14:paraId="7E34D24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560" w:firstLineChars="200"/>
        <w:jc w:val="left"/>
        <w:textAlignment w:val="baseline"/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3.2生产商资质、代理商资质。</w:t>
      </w:r>
    </w:p>
    <w:p w14:paraId="21D760C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560" w:firstLineChars="200"/>
        <w:jc w:val="left"/>
        <w:textAlignment w:val="baseline"/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3.3经销商对销售代表的授权书（原件）；销售代表身份证复印件。</w:t>
      </w:r>
    </w:p>
    <w:p w14:paraId="3C88B54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560" w:firstLineChars="200"/>
        <w:jc w:val="left"/>
        <w:textAlignment w:val="baseline"/>
        <w:rPr>
          <w:rStyle w:val="8"/>
          <w:rFonts w:hint="default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3.4完整调研响应文件（供应商可根据项目进行分项响应）：分项技术响应、分项报价、分项方案、售后方案。</w:t>
      </w:r>
    </w:p>
    <w:p w14:paraId="6530265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rightChars="0" w:firstLine="560" w:firstLineChars="200"/>
        <w:jc w:val="left"/>
        <w:textAlignment w:val="baseline"/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三、其他事宜</w:t>
      </w:r>
    </w:p>
    <w:p w14:paraId="7B842C1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560" w:firstLineChars="200"/>
        <w:jc w:val="left"/>
        <w:textAlignment w:val="baseline"/>
        <w:rPr>
          <w:rStyle w:val="8"/>
          <w:rFonts w:hint="default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本次调研仅为采购前期市场了解，不构成采购邀约，我院有权根据调研情况调整采购计划。</w:t>
      </w:r>
    </w:p>
    <w:p w14:paraId="1937E6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baseline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成都市成华区中医医院</w:t>
      </w:r>
    </w:p>
    <w:p w14:paraId="3DB2AA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right"/>
        <w:textAlignment w:val="baseline"/>
        <w:rPr>
          <w:rFonts w:hint="default" w:eastAsia="宋体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2026年10月10日</w:t>
      </w:r>
    </w:p>
    <w:bookmarkEnd w:id="0"/>
    <w:p w14:paraId="6A085945">
      <w:pPr>
        <w:spacing w:line="360" w:lineRule="auto"/>
        <w:ind w:firstLine="480" w:firstLineChars="200"/>
        <w:rPr>
          <w:rFonts w:hint="eastAsia"/>
          <w:sz w:val="24"/>
        </w:rPr>
      </w:pPr>
    </w:p>
    <w:tbl>
      <w:tblPr>
        <w:tblStyle w:val="4"/>
        <w:tblW w:w="92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1992"/>
        <w:gridCol w:w="5163"/>
        <w:gridCol w:w="1341"/>
      </w:tblGrid>
      <w:tr w14:paraId="11054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</w:tcPr>
          <w:p w14:paraId="443D1DA8">
            <w:pPr>
              <w:pStyle w:val="9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92" w:type="dxa"/>
          </w:tcPr>
          <w:p w14:paraId="0667A20C">
            <w:pPr>
              <w:pStyle w:val="9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163" w:type="dxa"/>
          </w:tcPr>
          <w:p w14:paraId="2F944BEE">
            <w:pPr>
              <w:pStyle w:val="9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内容</w:t>
            </w:r>
          </w:p>
        </w:tc>
        <w:tc>
          <w:tcPr>
            <w:tcW w:w="1341" w:type="dxa"/>
          </w:tcPr>
          <w:p w14:paraId="193F8169">
            <w:pPr>
              <w:pStyle w:val="9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备注</w:t>
            </w:r>
          </w:p>
        </w:tc>
      </w:tr>
      <w:tr w14:paraId="07FFC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</w:tcPr>
          <w:p w14:paraId="303F6FB2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92" w:type="dxa"/>
          </w:tcPr>
          <w:p w14:paraId="6F52071D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血透系统</w:t>
            </w:r>
          </w:p>
        </w:tc>
        <w:tc>
          <w:tcPr>
            <w:tcW w:w="5163" w:type="dxa"/>
          </w:tcPr>
          <w:p w14:paraId="5475387B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医院现有五台血透设备，系统需要支持</w:t>
            </w:r>
            <w:r>
              <w:rPr>
                <w:rFonts w:ascii="宋体" w:hAnsi="宋体" w:eastAsia="宋体" w:cs="宋体"/>
                <w:sz w:val="24"/>
                <w:szCs w:val="24"/>
              </w:rPr>
              <w:t>患者建档、分区排班床位管理、透析处方开立、透前透中透后全流程诊疗护理业务处理，可对接透析机物联网设备自动采集治疗参数及生命体征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ascii="宋体" w:hAnsi="宋体" w:eastAsia="宋体" w:cs="宋体"/>
                <w:sz w:val="24"/>
                <w:szCs w:val="24"/>
              </w:rPr>
              <w:t>，同步对接 HIS、LIS 完成收费与检验数据调取，自动生成各类质控报表，支持国家肾脏病质控平台数据上报，覆盖血液透析全业务闭环</w:t>
            </w:r>
          </w:p>
        </w:tc>
        <w:tc>
          <w:tcPr>
            <w:tcW w:w="1341" w:type="dxa"/>
          </w:tcPr>
          <w:p w14:paraId="071EA721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报价包含所有系统接口费（医院使用中联his系统）</w:t>
            </w:r>
          </w:p>
        </w:tc>
      </w:tr>
      <w:tr w14:paraId="67910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</w:tcPr>
          <w:p w14:paraId="6EF57AB7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92" w:type="dxa"/>
          </w:tcPr>
          <w:p w14:paraId="103EBDA3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输血系统</w:t>
            </w:r>
          </w:p>
        </w:tc>
        <w:tc>
          <w:tcPr>
            <w:tcW w:w="5163" w:type="dxa"/>
          </w:tcPr>
          <w:p w14:paraId="5E7556EA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支持</w:t>
            </w:r>
            <w:r>
              <w:rPr>
                <w:rFonts w:ascii="宋体" w:hAnsi="宋体" w:eastAsia="宋体" w:cs="宋体"/>
                <w:sz w:val="24"/>
                <w:szCs w:val="24"/>
              </w:rPr>
              <w:t>用血申请、输血前评估、标本接收核对、血型检测、交叉配血、发血出库、临床输血执行、输血不良反应上报、血液库存监控、耗材及用血记录归档等业务，可对接 HIS、LIS 系统调取患者诊疗及检验信息，落实用血双人核对、权限管控与操作留痕，自动生成各类用血统计质控报表</w:t>
            </w:r>
          </w:p>
        </w:tc>
        <w:tc>
          <w:tcPr>
            <w:tcW w:w="1341" w:type="dxa"/>
          </w:tcPr>
          <w:p w14:paraId="1A68EF93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报价包含所有系统接口费（医院使用中联his、lis系统）</w:t>
            </w:r>
          </w:p>
        </w:tc>
      </w:tr>
      <w:tr w14:paraId="5820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788" w:type="dxa"/>
            <w:shd w:val="clear" w:color="auto" w:fill="auto"/>
            <w:vAlign w:val="top"/>
          </w:tcPr>
          <w:p w14:paraId="07523477">
            <w:pPr>
              <w:pStyle w:val="9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  <w14:ligatures w14:val="standardContextual"/>
              </w:rPr>
              <w:t>3</w:t>
            </w:r>
          </w:p>
        </w:tc>
        <w:tc>
          <w:tcPr>
            <w:tcW w:w="1992" w:type="dxa"/>
            <w:shd w:val="clear" w:color="auto" w:fill="auto"/>
            <w:vAlign w:val="top"/>
          </w:tcPr>
          <w:p w14:paraId="57E7A69D">
            <w:pPr>
              <w:pStyle w:val="9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分布式存储</w:t>
            </w:r>
          </w:p>
        </w:tc>
        <w:tc>
          <w:tcPr>
            <w:tcW w:w="5163" w:type="dxa"/>
            <w:shd w:val="clear" w:color="auto" w:fill="auto"/>
            <w:vAlign w:val="top"/>
          </w:tcPr>
          <w:p w14:paraId="180DB341">
            <w:pPr>
              <w:pStyle w:val="9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能够支持医院所有非结构化数据统一存储的需求，(PACS业务、病案无纸化业务、医院内部各部门PDF 归档业务)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支持iSCSI、NFS、CIFS等存储接口，同时提供块、文件、对象、大数据存储服务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根据医院超融合数据中心网络架构，进行分布式部署，能够实现后端数据同步，不占用前端业务I0。数据存储池采用分布式架构，提供至少3节点硬件，支持万兆网络传输。</w:t>
            </w:r>
          </w:p>
        </w:tc>
        <w:tc>
          <w:tcPr>
            <w:tcW w:w="1341" w:type="dxa"/>
          </w:tcPr>
          <w:p w14:paraId="70941295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0482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788" w:type="dxa"/>
            <w:shd w:val="clear" w:color="auto" w:fill="auto"/>
            <w:vAlign w:val="top"/>
          </w:tcPr>
          <w:p w14:paraId="3F015ED5">
            <w:pPr>
              <w:pStyle w:val="9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992" w:type="dxa"/>
            <w:shd w:val="clear" w:color="auto" w:fill="auto"/>
            <w:vAlign w:val="top"/>
          </w:tcPr>
          <w:p w14:paraId="5F79D3EC">
            <w:pPr>
              <w:pStyle w:val="9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网络时间同步系统（NTP 授时系统）</w:t>
            </w:r>
          </w:p>
        </w:tc>
        <w:tc>
          <w:tcPr>
            <w:tcW w:w="5163" w:type="dxa"/>
            <w:shd w:val="clear" w:color="auto" w:fill="auto"/>
            <w:vAlign w:val="top"/>
          </w:tcPr>
          <w:p w14:paraId="1AC911F7">
            <w:pPr>
              <w:pStyle w:val="9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支持医院</w:t>
            </w:r>
            <w:r>
              <w:rPr>
                <w:rFonts w:ascii="宋体" w:hAnsi="宋体" w:eastAsia="宋体" w:cs="宋体"/>
                <w:sz w:val="24"/>
                <w:szCs w:val="24"/>
              </w:rPr>
              <w:t>网络时间同步，承担院内</w:t>
            </w: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信息系统、安防平台、各类带计时功能设备</w:t>
            </w:r>
            <w:r>
              <w:rPr>
                <w:rFonts w:ascii="宋体" w:hAnsi="宋体" w:eastAsia="宋体" w:cs="宋体"/>
                <w:sz w:val="24"/>
                <w:szCs w:val="24"/>
              </w:rPr>
              <w:t>的统一校时服务，系统以北京时间为基准，所有接入设备时钟与北京时间误差</w:t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</w:rPr>
              <w:t>不大于 5s</w:t>
            </w:r>
            <w:r>
              <w:rPr>
                <w:rFonts w:ascii="宋体" w:hAnsi="宋体" w:eastAsia="宋体" w:cs="宋体"/>
                <w:sz w:val="24"/>
                <w:szCs w:val="24"/>
              </w:rPr>
              <w:t>；满足电子病历分级评价、安全防范管理平台相关规范要求，保障电子病历、业务日志、安防录像时间戳的一致性与可追溯性。</w:t>
            </w:r>
          </w:p>
        </w:tc>
        <w:tc>
          <w:tcPr>
            <w:tcW w:w="1341" w:type="dxa"/>
          </w:tcPr>
          <w:p w14:paraId="01FE627D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88D4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788" w:type="dxa"/>
            <w:shd w:val="clear" w:color="auto" w:fill="auto"/>
            <w:vAlign w:val="top"/>
          </w:tcPr>
          <w:p w14:paraId="3C5C24FD">
            <w:pPr>
              <w:pStyle w:val="9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  <w14:ligatures w14:val="standardContextual"/>
              </w:rPr>
              <w:t>5</w:t>
            </w:r>
          </w:p>
        </w:tc>
        <w:tc>
          <w:tcPr>
            <w:tcW w:w="1992" w:type="dxa"/>
            <w:shd w:val="clear" w:color="auto" w:fill="auto"/>
            <w:vAlign w:val="top"/>
          </w:tcPr>
          <w:p w14:paraId="775F0125">
            <w:pPr>
              <w:pStyle w:val="9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机房动环监控系统</w:t>
            </w:r>
          </w:p>
        </w:tc>
        <w:tc>
          <w:tcPr>
            <w:tcW w:w="5163" w:type="dxa"/>
            <w:shd w:val="clear" w:color="auto" w:fill="auto"/>
            <w:vAlign w:val="top"/>
          </w:tcPr>
          <w:p w14:paraId="059DE786">
            <w:pPr>
              <w:pStyle w:val="9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支持对接UPS、蓄电池等动力系统，实现对机房动力系统物理安全状态的实时感知，支持温湿传感器、精密空调、普通空调、漏水传感器；支持门禁、门磁、烟雾传感器、视频等；支持对交换机、服务器、路由器、防火墙等网络设备进行健康检查，实现对CPU使用率、内存、端口状态、流量情况、链路质量等实时监测，并联动告警系统进行告警；支持机柜可视化，可查看机柜U位占位情况；支持3D智能引擎，内置网络设备、机柜、UPS、办公资产等素材，可以基于机房真实情况，通过拖拽式真实还原，实现所画即所得;支持基于数字孪生技术的屏幕展示，向管理人员展示整体机房整体运行状态，包括UPS状态、精密空调状态、电力系统、温湿度情况、告警情况等；支持多种告警模式，至少包括:电话告警、短信告警、APP告警、WEB告警、微信告警、邮件等;支持移动APP运维，通过手机APP即可进行状态查看、设备远程管理、策略远程配置、数据分析查看、巡检任务、空间查看等，并内置常见告警模版。</w:t>
            </w:r>
          </w:p>
        </w:tc>
        <w:tc>
          <w:tcPr>
            <w:tcW w:w="1341" w:type="dxa"/>
          </w:tcPr>
          <w:p w14:paraId="72086B08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34D6238D">
      <w:pPr>
        <w:spacing w:line="360" w:lineRule="auto"/>
        <w:ind w:left="480"/>
        <w:rPr>
          <w:rFonts w:hint="eastAsia"/>
          <w:sz w:val="24"/>
        </w:rPr>
      </w:pPr>
    </w:p>
    <w:p w14:paraId="2BFA3F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4ACB854-C89A-44EF-89A0-0D1B1B8D7301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5D5F5A2-7F15-4821-BB7C-748C20CEC372}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3975B1"/>
    <w:multiLevelType w:val="singleLevel"/>
    <w:tmpl w:val="CF3975B1"/>
    <w:lvl w:ilvl="0" w:tentative="0">
      <w:start w:val="1"/>
      <w:numFmt w:val="chineseCounting"/>
      <w:suff w:val="nothing"/>
      <w:lvlText w:val="%1、"/>
      <w:lvlJc w:val="left"/>
      <w:pPr>
        <w:ind w:left="637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036A80"/>
    <w:rsid w:val="07621E78"/>
    <w:rsid w:val="1A642C58"/>
    <w:rsid w:val="2A54259B"/>
    <w:rsid w:val="2B2973EE"/>
    <w:rsid w:val="43036A80"/>
    <w:rsid w:val="46037F2B"/>
    <w:rsid w:val="46DD2F1E"/>
    <w:rsid w:val="6CD3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1483</Words>
  <Characters>1570</Characters>
  <Lines>0</Lines>
  <Paragraphs>0</Paragraphs>
  <TotalTime>25</TotalTime>
  <ScaleCrop>false</ScaleCrop>
  <LinksUpToDate>false</LinksUpToDate>
  <CharactersWithSpaces>1586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2026-09-08T05:56:00Z</dcterms:created>
  <dc:creator>安翎灵</dc:creator>
  <cp:lastModifiedBy>唐旭醛</cp:lastModifiedBy>
  <dcterms:modified xsi:type="dcterms:W3CDTF">2026-10-10T07:36:50Z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E8F5F006587648C6993BBD804D5D7AC0_11</vt:lpwstr>
  </property>
  <property fmtid="{D5CDD505-2E9C-101B-9397-08002B2CF9AE}" pid="4" name="KSOTemplateDocerSaveRecord">
    <vt:lpwstr>eyJoZGlkIjoiMmJkZjI4Mjg1YmY3OTVjNzE5NDhlNGYzNDk0ZDNlZWEiLCJ1c2VySWQiOiIxODA2OTExMTcwIn0=</vt:lpwstr>
  </property>
</Properties>
</file>