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2E50">
      <w:pPr>
        <w:spacing w:line="360" w:lineRule="auto"/>
        <w:jc w:val="center"/>
        <w:rPr>
          <w:rFonts w:hint="default" w:ascii="华文中宋" w:hAnsi="华文中宋" w:eastAsia="华文中宋" w:cs="宋体"/>
          <w:b/>
          <w:color w:val="auto"/>
          <w:sz w:val="48"/>
          <w:szCs w:val="48"/>
          <w:lang w:val="en-US"/>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bookmarkStart w:id="0" w:name="_Hlk63613221"/>
      <w:r>
        <w:rPr>
          <w:rFonts w:hint="eastAsia" w:ascii="华文中宋" w:hAnsi="华文中宋" w:eastAsia="华文中宋" w:cs="宋体"/>
          <w:b/>
          <w:color w:val="auto"/>
          <w:sz w:val="32"/>
          <w:lang w:val="en-US" w:eastAsia="zh-CN"/>
        </w:rPr>
        <w:t>2026-1</w:t>
      </w:r>
    </w:p>
    <w:p w14:paraId="180D7539">
      <w:pPr>
        <w:spacing w:line="360" w:lineRule="auto"/>
        <w:jc w:val="center"/>
        <w:rPr>
          <w:rFonts w:hint="eastAsia" w:ascii="华文中宋" w:hAnsi="华文中宋" w:eastAsia="华文中宋" w:cs="宋体"/>
          <w:b/>
          <w:color w:val="auto"/>
          <w:sz w:val="48"/>
          <w:szCs w:val="48"/>
          <w:lang w:val="en-US" w:eastAsia="zh-CN"/>
        </w:rPr>
      </w:pPr>
      <w:r>
        <w:rPr>
          <w:rFonts w:hint="eastAsia" w:ascii="华文中宋" w:hAnsi="华文中宋" w:eastAsia="华文中宋" w:cs="宋体"/>
          <w:b/>
          <w:color w:val="auto"/>
          <w:sz w:val="48"/>
          <w:szCs w:val="48"/>
        </w:rPr>
        <w:t>医院</w:t>
      </w:r>
      <w:r>
        <w:rPr>
          <w:rFonts w:hint="eastAsia" w:ascii="华文中宋" w:hAnsi="华文中宋" w:eastAsia="华文中宋" w:cs="宋体"/>
          <w:b/>
          <w:color w:val="auto"/>
          <w:sz w:val="48"/>
          <w:szCs w:val="48"/>
          <w:lang w:val="en-US" w:eastAsia="zh-CN"/>
        </w:rPr>
        <w:t>2026年医用耗材、试剂一批集中</w:t>
      </w:r>
    </w:p>
    <w:p w14:paraId="45C73E8D">
      <w:pPr>
        <w:spacing w:line="360" w:lineRule="auto"/>
        <w:jc w:val="center"/>
        <w:rPr>
          <w:rFonts w:hint="eastAsia" w:ascii="华文中宋" w:hAnsi="华文中宋" w:eastAsia="华文中宋" w:cs="宋体"/>
          <w:b/>
          <w:color w:val="auto"/>
          <w:sz w:val="48"/>
          <w:szCs w:val="48"/>
          <w:lang w:eastAsia="zh-CN"/>
        </w:rPr>
      </w:pPr>
      <w:r>
        <w:rPr>
          <w:rFonts w:hint="eastAsia" w:ascii="华文中宋" w:hAnsi="华文中宋" w:eastAsia="华文中宋" w:cs="宋体"/>
          <w:b/>
          <w:color w:val="auto"/>
          <w:sz w:val="48"/>
          <w:szCs w:val="48"/>
          <w:lang w:val="en-US" w:eastAsia="zh-CN"/>
        </w:rPr>
        <w:t>配送服务采购</w:t>
      </w:r>
      <w:r>
        <w:rPr>
          <w:rFonts w:hint="eastAsia" w:ascii="华文中宋" w:hAnsi="华文中宋" w:eastAsia="华文中宋" w:cs="宋体"/>
          <w:b/>
          <w:color w:val="auto"/>
          <w:sz w:val="48"/>
          <w:szCs w:val="48"/>
        </w:rPr>
        <w:t>项目</w:t>
      </w:r>
      <w:bookmarkEnd w:id="0"/>
      <w:r>
        <w:rPr>
          <w:rFonts w:hint="eastAsia" w:ascii="华文中宋" w:hAnsi="华文中宋" w:eastAsia="华文中宋" w:cs="宋体"/>
          <w:b/>
          <w:color w:val="auto"/>
          <w:sz w:val="48"/>
          <w:szCs w:val="48"/>
          <w:lang w:eastAsia="zh-CN"/>
        </w:rPr>
        <w:t>（</w:t>
      </w:r>
      <w:r>
        <w:rPr>
          <w:rFonts w:hint="eastAsia" w:ascii="华文中宋" w:hAnsi="华文中宋" w:eastAsia="华文中宋" w:cs="宋体"/>
          <w:b/>
          <w:color w:val="auto"/>
          <w:sz w:val="48"/>
          <w:szCs w:val="48"/>
          <w:lang w:val="en-US" w:eastAsia="zh-CN"/>
        </w:rPr>
        <w:t>第二次</w:t>
      </w:r>
      <w:r>
        <w:rPr>
          <w:rFonts w:hint="eastAsia" w:ascii="华文中宋" w:hAnsi="华文中宋" w:eastAsia="华文中宋" w:cs="宋体"/>
          <w:b/>
          <w:color w:val="auto"/>
          <w:sz w:val="48"/>
          <w:szCs w:val="48"/>
          <w:lang w:eastAsia="zh-CN"/>
        </w:rPr>
        <w:t>）</w:t>
      </w:r>
    </w:p>
    <w:p w14:paraId="1299733F">
      <w:pPr>
        <w:spacing w:line="360" w:lineRule="auto"/>
        <w:jc w:val="center"/>
        <w:rPr>
          <w:rFonts w:ascii="华文中宋" w:hAnsi="华文中宋" w:eastAsia="华文中宋" w:cs="宋体"/>
          <w:b/>
          <w:color w:val="auto"/>
          <w:spacing w:val="40"/>
          <w:sz w:val="32"/>
        </w:rPr>
      </w:pPr>
    </w:p>
    <w:p w14:paraId="76B9401D">
      <w:pPr>
        <w:spacing w:line="360" w:lineRule="auto"/>
        <w:jc w:val="center"/>
        <w:rPr>
          <w:rFonts w:ascii="华文中宋" w:hAnsi="华文中宋" w:eastAsia="华文中宋" w:cs="宋体"/>
          <w:b/>
          <w:color w:val="auto"/>
          <w:spacing w:val="40"/>
          <w:sz w:val="32"/>
        </w:rPr>
      </w:pPr>
    </w:p>
    <w:p w14:paraId="4B01DDBD">
      <w:pPr>
        <w:spacing w:line="360" w:lineRule="auto"/>
        <w:jc w:val="center"/>
        <w:rPr>
          <w:rFonts w:ascii="华文中宋" w:hAnsi="华文中宋" w:eastAsia="华文中宋" w:cs="宋体"/>
          <w:b/>
          <w:color w:val="auto"/>
          <w:spacing w:val="40"/>
          <w:sz w:val="32"/>
        </w:rPr>
      </w:pPr>
    </w:p>
    <w:p w14:paraId="4DE3DF29">
      <w:pPr>
        <w:spacing w:line="360" w:lineRule="auto"/>
        <w:jc w:val="center"/>
        <w:rPr>
          <w:rFonts w:ascii="华文中宋" w:hAnsi="华文中宋" w:eastAsia="华文中宋" w:cs="宋体"/>
          <w:b/>
          <w:color w:val="auto"/>
          <w:spacing w:val="40"/>
          <w:sz w:val="32"/>
        </w:rPr>
      </w:pPr>
    </w:p>
    <w:p w14:paraId="1EF3DBC6">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5DD06540">
      <w:pPr>
        <w:spacing w:line="360" w:lineRule="auto"/>
        <w:jc w:val="center"/>
        <w:rPr>
          <w:rFonts w:ascii="华文中宋" w:hAnsi="华文中宋" w:eastAsia="华文中宋" w:cs="宋体"/>
          <w:b/>
          <w:color w:val="auto"/>
          <w:spacing w:val="40"/>
          <w:sz w:val="32"/>
        </w:rPr>
      </w:pPr>
    </w:p>
    <w:p w14:paraId="0D0E1836">
      <w:pPr>
        <w:spacing w:line="360" w:lineRule="auto"/>
        <w:jc w:val="center"/>
        <w:rPr>
          <w:rFonts w:ascii="华文中宋" w:hAnsi="华文中宋" w:eastAsia="华文中宋" w:cs="宋体"/>
          <w:b/>
          <w:color w:val="auto"/>
          <w:spacing w:val="40"/>
          <w:sz w:val="32"/>
        </w:rPr>
      </w:pPr>
    </w:p>
    <w:p w14:paraId="7D21FE27">
      <w:pPr>
        <w:spacing w:line="360" w:lineRule="auto"/>
        <w:jc w:val="center"/>
        <w:rPr>
          <w:rFonts w:ascii="华文中宋" w:hAnsi="华文中宋" w:eastAsia="华文中宋" w:cs="宋体"/>
          <w:b/>
          <w:color w:val="auto"/>
          <w:spacing w:val="40"/>
          <w:sz w:val="32"/>
        </w:rPr>
      </w:pPr>
    </w:p>
    <w:p w14:paraId="5EA06436">
      <w:pPr>
        <w:spacing w:line="360" w:lineRule="auto"/>
        <w:jc w:val="center"/>
        <w:rPr>
          <w:rFonts w:ascii="华文中宋" w:hAnsi="华文中宋" w:eastAsia="华文中宋" w:cs="宋体"/>
          <w:b/>
          <w:color w:val="auto"/>
          <w:spacing w:val="40"/>
          <w:sz w:val="32"/>
        </w:rPr>
      </w:pPr>
    </w:p>
    <w:p w14:paraId="10E78088">
      <w:pPr>
        <w:spacing w:line="360" w:lineRule="auto"/>
        <w:jc w:val="center"/>
        <w:rPr>
          <w:rFonts w:ascii="华文中宋" w:hAnsi="华文中宋" w:eastAsia="华文中宋" w:cs="宋体"/>
          <w:b/>
          <w:color w:val="auto"/>
          <w:spacing w:val="40"/>
          <w:sz w:val="32"/>
        </w:rPr>
      </w:pPr>
    </w:p>
    <w:p w14:paraId="3BE34E35">
      <w:pPr>
        <w:spacing w:line="360" w:lineRule="auto"/>
        <w:jc w:val="center"/>
        <w:rPr>
          <w:rFonts w:ascii="华文中宋" w:hAnsi="华文中宋" w:eastAsia="华文中宋" w:cs="宋体"/>
          <w:b/>
          <w:color w:val="auto"/>
          <w:spacing w:val="40"/>
          <w:sz w:val="32"/>
        </w:rPr>
      </w:pPr>
    </w:p>
    <w:p w14:paraId="38214C3A">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350909AE">
      <w:pPr>
        <w:spacing w:line="360" w:lineRule="auto"/>
        <w:jc w:val="center"/>
        <w:rPr>
          <w:rFonts w:ascii="华文中宋" w:hAnsi="华文中宋" w:eastAsia="华文中宋" w:cs="宋体"/>
          <w:b/>
          <w:color w:val="auto"/>
          <w:sz w:val="32"/>
        </w:rPr>
      </w:pPr>
    </w:p>
    <w:p w14:paraId="572143E1">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2026</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1</w:t>
      </w:r>
      <w:r>
        <w:rPr>
          <w:rFonts w:ascii="华文中宋" w:hAnsi="华文中宋" w:eastAsia="华文中宋" w:cs="宋体"/>
          <w:b/>
          <w:color w:val="auto"/>
          <w:sz w:val="32"/>
        </w:rPr>
        <w:t>月</w:t>
      </w:r>
    </w:p>
    <w:p w14:paraId="1648E411">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ascii="华文中宋" w:hAnsi="华文中宋" w:eastAsia="华文中宋" w:cs="宋体"/>
          <w:b/>
          <w:color w:val="auto"/>
          <w:sz w:val="32"/>
        </w:rPr>
        <w:br w:type="page"/>
      </w:r>
      <w:r>
        <w:rPr>
          <w:rFonts w:hint="eastAsia" w:ascii="方正小标宋简体" w:hAnsi="方正小标宋简体" w:eastAsia="方正小标宋简体" w:cs="方正小标宋简体"/>
          <w:b w:val="0"/>
          <w:bCs/>
          <w:color w:val="000000"/>
          <w:sz w:val="30"/>
          <w:szCs w:val="30"/>
          <w:lang w:val="en-US" w:eastAsia="zh-CN"/>
        </w:rPr>
        <w:t>成都市成华区中医医院</w:t>
      </w:r>
    </w:p>
    <w:p w14:paraId="0070120A">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hint="eastAsia" w:ascii="方正小标宋简体" w:hAnsi="方正小标宋简体" w:eastAsia="方正小标宋简体" w:cs="方正小标宋简体"/>
          <w:b w:val="0"/>
          <w:bCs/>
          <w:color w:val="000000"/>
          <w:sz w:val="30"/>
          <w:szCs w:val="30"/>
          <w:lang w:val="en-US" w:eastAsia="zh-CN"/>
        </w:rPr>
        <w:t>医用耗材、试剂一批采购项目（第二次）比选文件</w:t>
      </w:r>
    </w:p>
    <w:p w14:paraId="2776405B">
      <w:pPr>
        <w:pStyle w:val="2"/>
        <w:spacing w:before="156" w:after="156"/>
      </w:pPr>
      <w:bookmarkStart w:id="1" w:name="_Toc508279773"/>
      <w:bookmarkStart w:id="2" w:name="_Toc21590"/>
      <w:r>
        <w:rPr>
          <w:rFonts w:hint="eastAsia"/>
        </w:rPr>
        <w:t>第一章</w:t>
      </w:r>
      <w:r>
        <w:rPr>
          <w:rFonts w:hint="eastAsia"/>
          <w:lang w:eastAsia="zh-CN"/>
        </w:rPr>
        <w:t>比选</w:t>
      </w:r>
      <w:r>
        <w:rPr>
          <w:rFonts w:hint="eastAsia"/>
        </w:rPr>
        <w:t>邀请</w:t>
      </w:r>
      <w:bookmarkEnd w:id="1"/>
      <w:bookmarkEnd w:id="2"/>
    </w:p>
    <w:p w14:paraId="5820864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成都市成华区中医医院</w:t>
      </w:r>
      <w:r>
        <w:rPr>
          <w:rFonts w:hint="eastAsia" w:ascii="仿宋" w:hAnsi="仿宋" w:eastAsia="仿宋" w:cs="仿宋"/>
          <w:sz w:val="28"/>
          <w:szCs w:val="28"/>
        </w:rPr>
        <w:t>拟对</w:t>
      </w:r>
      <w:r>
        <w:rPr>
          <w:rFonts w:hint="eastAsia" w:ascii="仿宋" w:hAnsi="仿宋" w:eastAsia="仿宋" w:cs="仿宋"/>
          <w:sz w:val="28"/>
          <w:szCs w:val="28"/>
          <w:lang w:val="en-US" w:eastAsia="zh-CN"/>
        </w:rPr>
        <w:t>医院2026年医用耗材、试剂一批集中配送服务采购项目（第二次）</w:t>
      </w:r>
      <w:r>
        <w:rPr>
          <w:rFonts w:hint="eastAsia" w:ascii="仿宋" w:hAnsi="仿宋" w:eastAsia="仿宋" w:cs="仿宋"/>
          <w:sz w:val="28"/>
          <w:szCs w:val="28"/>
        </w:rPr>
        <w:t>采用</w:t>
      </w:r>
      <w:r>
        <w:rPr>
          <w:rFonts w:hint="eastAsia" w:ascii="仿宋" w:hAnsi="仿宋" w:eastAsia="仿宋" w:cs="仿宋"/>
          <w:sz w:val="28"/>
          <w:szCs w:val="28"/>
          <w:lang w:eastAsia="zh-CN"/>
        </w:rPr>
        <w:t>比选</w:t>
      </w:r>
      <w:r>
        <w:rPr>
          <w:rFonts w:hint="eastAsia" w:ascii="仿宋" w:hAnsi="仿宋" w:eastAsia="仿宋" w:cs="仿宋"/>
          <w:sz w:val="28"/>
          <w:szCs w:val="28"/>
        </w:rPr>
        <w:t>方式进行采购，特邀请符合本次采购要求的供应商参加本项目的</w:t>
      </w:r>
      <w:r>
        <w:rPr>
          <w:rFonts w:hint="eastAsia" w:ascii="仿宋" w:hAnsi="仿宋" w:eastAsia="仿宋" w:cs="仿宋"/>
          <w:sz w:val="28"/>
          <w:szCs w:val="28"/>
          <w:lang w:eastAsia="zh-CN"/>
        </w:rPr>
        <w:t>比选</w:t>
      </w:r>
      <w:r>
        <w:rPr>
          <w:rFonts w:hint="eastAsia" w:ascii="仿宋" w:hAnsi="仿宋" w:eastAsia="仿宋" w:cs="仿宋"/>
          <w:sz w:val="28"/>
          <w:szCs w:val="28"/>
        </w:rPr>
        <w:t>。</w:t>
      </w:r>
    </w:p>
    <w:p w14:paraId="4C81EB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14:paraId="52CE8B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1、本项目共2个包，</w:t>
      </w:r>
    </w:p>
    <w:tbl>
      <w:tblPr>
        <w:tblStyle w:val="17"/>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515"/>
        <w:gridCol w:w="3515"/>
      </w:tblGrid>
      <w:tr w14:paraId="376B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7B8F490">
            <w:pPr>
              <w:spacing w:after="120" w:afterLines="50" w:line="360" w:lineRule="auto"/>
              <w:jc w:val="center"/>
              <w:rPr>
                <w:rFonts w:ascii="宋体"/>
                <w:b/>
                <w:sz w:val="24"/>
                <w:szCs w:val="32"/>
              </w:rPr>
            </w:pPr>
            <w:bookmarkStart w:id="3" w:name="_Hlk153874023"/>
            <w:r>
              <w:rPr>
                <w:rFonts w:hint="eastAsia" w:ascii="宋体"/>
                <w:b/>
                <w:sz w:val="24"/>
                <w:szCs w:val="32"/>
              </w:rPr>
              <w:t>包号</w:t>
            </w:r>
          </w:p>
        </w:tc>
        <w:tc>
          <w:tcPr>
            <w:tcW w:w="3515" w:type="dxa"/>
            <w:vAlign w:val="center"/>
          </w:tcPr>
          <w:p w14:paraId="634AC5B2">
            <w:pPr>
              <w:spacing w:after="120" w:afterLines="50" w:line="360" w:lineRule="auto"/>
              <w:jc w:val="center"/>
              <w:rPr>
                <w:rFonts w:ascii="宋体"/>
                <w:b/>
                <w:sz w:val="24"/>
                <w:szCs w:val="32"/>
              </w:rPr>
            </w:pPr>
            <w:r>
              <w:rPr>
                <w:rFonts w:hint="eastAsia" w:ascii="宋体"/>
                <w:b/>
                <w:sz w:val="24"/>
                <w:szCs w:val="32"/>
              </w:rPr>
              <w:t>标的名称</w:t>
            </w:r>
          </w:p>
        </w:tc>
        <w:tc>
          <w:tcPr>
            <w:tcW w:w="3515" w:type="dxa"/>
          </w:tcPr>
          <w:p w14:paraId="7D540722">
            <w:pPr>
              <w:spacing w:after="120" w:afterLines="50" w:line="360" w:lineRule="auto"/>
              <w:jc w:val="center"/>
              <w:rPr>
                <w:rFonts w:ascii="宋体"/>
                <w:b/>
                <w:sz w:val="24"/>
                <w:szCs w:val="32"/>
              </w:rPr>
            </w:pPr>
            <w:r>
              <w:rPr>
                <w:rFonts w:hint="eastAsia" w:ascii="宋体"/>
                <w:b/>
                <w:sz w:val="24"/>
                <w:szCs w:val="32"/>
              </w:rPr>
              <w:t>拟采购入围服务商数量</w:t>
            </w:r>
          </w:p>
        </w:tc>
      </w:tr>
      <w:tr w14:paraId="11B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5232D8C">
            <w:pPr>
              <w:spacing w:after="120" w:afterLines="50" w:line="360" w:lineRule="auto"/>
              <w:jc w:val="center"/>
              <w:rPr>
                <w:rFonts w:ascii="宋体"/>
                <w:bCs/>
                <w:sz w:val="24"/>
                <w:szCs w:val="32"/>
              </w:rPr>
            </w:pPr>
            <w:r>
              <w:rPr>
                <w:rFonts w:hint="eastAsia" w:ascii="宋体"/>
                <w:bCs/>
                <w:sz w:val="24"/>
                <w:szCs w:val="32"/>
              </w:rPr>
              <w:t>0</w:t>
            </w:r>
            <w:r>
              <w:rPr>
                <w:rFonts w:ascii="宋体"/>
                <w:bCs/>
                <w:sz w:val="24"/>
                <w:szCs w:val="32"/>
              </w:rPr>
              <w:t>1</w:t>
            </w:r>
            <w:r>
              <w:rPr>
                <w:rFonts w:hint="eastAsia" w:ascii="宋体"/>
                <w:bCs/>
                <w:sz w:val="24"/>
                <w:szCs w:val="32"/>
              </w:rPr>
              <w:t>包</w:t>
            </w:r>
          </w:p>
        </w:tc>
        <w:tc>
          <w:tcPr>
            <w:tcW w:w="3515" w:type="dxa"/>
            <w:vAlign w:val="center"/>
          </w:tcPr>
          <w:p w14:paraId="67F727C7">
            <w:pPr>
              <w:spacing w:after="120" w:afterLines="50" w:line="360" w:lineRule="auto"/>
              <w:jc w:val="center"/>
              <w:rPr>
                <w:rFonts w:ascii="宋体"/>
                <w:bCs/>
                <w:sz w:val="24"/>
                <w:szCs w:val="32"/>
              </w:rPr>
            </w:pPr>
            <w:r>
              <w:rPr>
                <w:rFonts w:hint="eastAsia" w:ascii="宋体" w:hAnsi="Times New Roman" w:cs="Times New Roman"/>
                <w:bCs/>
                <w:sz w:val="24"/>
                <w:szCs w:val="32"/>
                <w:lang w:val="en-US" w:eastAsia="zh-CN"/>
              </w:rPr>
              <w:t>胃肠充盈超声造影剂</w:t>
            </w:r>
            <w:r>
              <w:rPr>
                <w:rFonts w:hint="eastAsia" w:ascii="宋体" w:hAnsi="Times New Roman" w:cs="Times New Roman"/>
                <w:bCs/>
                <w:sz w:val="24"/>
                <w:szCs w:val="32"/>
              </w:rPr>
              <w:t>集中配送</w:t>
            </w:r>
          </w:p>
        </w:tc>
        <w:tc>
          <w:tcPr>
            <w:tcW w:w="3515" w:type="dxa"/>
          </w:tcPr>
          <w:p w14:paraId="3DA0C9EC">
            <w:pPr>
              <w:spacing w:after="120" w:afterLines="50" w:line="360" w:lineRule="auto"/>
              <w:jc w:val="center"/>
              <w:rPr>
                <w:rFonts w:ascii="宋体"/>
                <w:bCs/>
                <w:sz w:val="24"/>
                <w:szCs w:val="32"/>
              </w:rPr>
            </w:pPr>
            <w:r>
              <w:rPr>
                <w:rFonts w:hint="eastAsia" w:ascii="宋体"/>
                <w:bCs/>
                <w:sz w:val="24"/>
                <w:szCs w:val="32"/>
                <w:lang w:val="en-US" w:eastAsia="zh-CN"/>
              </w:rPr>
              <w:t>1</w:t>
            </w:r>
            <w:r>
              <w:rPr>
                <w:rFonts w:hint="eastAsia" w:ascii="宋体"/>
                <w:bCs/>
                <w:sz w:val="24"/>
                <w:szCs w:val="32"/>
              </w:rPr>
              <w:t>名</w:t>
            </w:r>
          </w:p>
        </w:tc>
      </w:tr>
      <w:bookmarkEnd w:id="3"/>
    </w:tbl>
    <w:p w14:paraId="33E821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bookmarkStart w:id="29" w:name="_GoBack"/>
      <w:bookmarkEnd w:id="29"/>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采购人：成都市</w:t>
      </w:r>
      <w:r>
        <w:rPr>
          <w:rFonts w:hint="eastAsia" w:ascii="仿宋" w:hAnsi="仿宋" w:eastAsia="仿宋" w:cs="仿宋"/>
          <w:sz w:val="28"/>
          <w:szCs w:val="28"/>
          <w:lang w:val="en-US" w:eastAsia="zh-CN"/>
        </w:rPr>
        <w:t>成华区中医医院</w:t>
      </w:r>
    </w:p>
    <w:p w14:paraId="590253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3、服务期限：合同签订后三年，合同一年一签。</w:t>
      </w:r>
    </w:p>
    <w:p w14:paraId="29D9C6CB">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sz w:val="28"/>
          <w:szCs w:val="28"/>
          <w:lang w:val="en-US" w:eastAsia="zh-CN"/>
        </w:rPr>
      </w:pPr>
      <w:r>
        <w:rPr>
          <w:rFonts w:hint="eastAsia" w:ascii="仿宋" w:hAnsi="仿宋" w:eastAsia="仿宋" w:cs="仿宋"/>
          <w:sz w:val="28"/>
          <w:szCs w:val="28"/>
          <w:lang w:val="en-US" w:eastAsia="zh-CN"/>
        </w:rPr>
        <w:t>4、项目要求：符合国家标准或行业标准。本次比选不支持联合体报价。</w:t>
      </w:r>
    </w:p>
    <w:p w14:paraId="5981EE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bookmarkStart w:id="4" w:name="_Toc508279817"/>
      <w:r>
        <w:rPr>
          <w:rFonts w:hint="eastAsia" w:ascii="仿宋" w:hAnsi="仿宋" w:eastAsia="仿宋" w:cs="仿宋"/>
          <w:kern w:val="2"/>
          <w:sz w:val="28"/>
          <w:szCs w:val="28"/>
          <w:lang w:val="en-US" w:eastAsia="zh-CN" w:bidi="ar-SA"/>
        </w:rPr>
        <w:t>二、比选申请文件现场提交地址：成都市成华区长秀路133号4楼会议室。</w:t>
      </w:r>
    </w:p>
    <w:p w14:paraId="3F8E16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比选申请文件递交截止时间：2026年2月4日16:00（北京时间），逾期送达或没有密封的比选申请文件不予接收。本次比选不接受邮寄的比选申请文件。</w:t>
      </w:r>
    </w:p>
    <w:p w14:paraId="450C3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3233FC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2、所有资料及复印件清晰可辩，若资料模糊不清，视为无。</w:t>
      </w:r>
    </w:p>
    <w:p w14:paraId="18612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三、比选时间：2026年2月4日16:00</w:t>
      </w:r>
    </w:p>
    <w:p w14:paraId="3DB7A1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比选地点：成都市成华区中医医院（成都市成华区长秀路133号）</w:t>
      </w:r>
    </w:p>
    <w:p w14:paraId="07736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四、本项目网上发布地址：</w:t>
      </w:r>
    </w:p>
    <w:p w14:paraId="146A9D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比选公告、文件、变更、结果发布均在成都市成华区中医医院网站以公告形式发布。</w:t>
      </w:r>
    </w:p>
    <w:p w14:paraId="39B5CF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五、比选人的有关信息：</w:t>
      </w:r>
    </w:p>
    <w:p w14:paraId="1C409A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比选人：成都市成华区中医医院</w:t>
      </w:r>
    </w:p>
    <w:p w14:paraId="1E04A8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地址：成都市成华区长秀路133号</w:t>
      </w:r>
    </w:p>
    <w:p w14:paraId="690130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联系人：张老师、秦老师</w:t>
      </w:r>
    </w:p>
    <w:p w14:paraId="5FB60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联系电话：028-60828099</w:t>
      </w:r>
    </w:p>
    <w:p w14:paraId="613855A7">
      <w:pPr>
        <w:rPr>
          <w:rFonts w:hint="eastAsia"/>
        </w:rPr>
      </w:pPr>
    </w:p>
    <w:p w14:paraId="7FAFAFC4">
      <w:pPr>
        <w:pStyle w:val="2"/>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14:paraId="07F2D94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7FC4E02E">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62635CFA">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14:paraId="6766ED5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14:paraId="2CF01578">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14:paraId="4D72A9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14:paraId="31BD1D07">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若所配送产品中有医疗器械的，配送产品须符合《医疗器械注册与备案管理办法》等政策法规要求并具有中华人民共和国医疗器械注册或备案凭证；投标人须符合《医疗器械监督管理条例》等政策法规要求并具有医疗器械生产许可证或者医疗器械经营许可/备案凭证。</w:t>
      </w:r>
    </w:p>
    <w:p w14:paraId="189F0EB9">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8、若所配送产品涉及到消毒产品的，消毒产品须具备《消毒产品卫生安全评价报告》。（若为新消毒产品须具备有效的卫生许可批件）。</w:t>
      </w:r>
    </w:p>
    <w:p w14:paraId="499E55FC">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、投标人需在四川省医疗保障信息大数据一体化平台药品和医用耗材招采管理子系统中获取配送资格。</w:t>
      </w:r>
    </w:p>
    <w:p w14:paraId="4EDF9B82">
      <w:pPr>
        <w:tabs>
          <w:tab w:val="left" w:pos="7665"/>
        </w:tabs>
        <w:spacing w:line="500" w:lineRule="exact"/>
        <w:ind w:firstLine="560" w:firstLineChars="200"/>
        <w:rPr>
          <w:rFonts w:hint="eastAsia" w:ascii="仿宋" w:hAnsi="仿宋" w:eastAsia="仿宋" w:cs="仿宋"/>
          <w:sz w:val="28"/>
          <w:szCs w:val="28"/>
        </w:rPr>
      </w:pPr>
    </w:p>
    <w:p w14:paraId="53BA4D87">
      <w:pPr>
        <w:pStyle w:val="3"/>
        <w:rPr>
          <w:rStyle w:val="20"/>
          <w:rFonts w:hint="eastAsia" w:ascii="仿宋" w:hAnsi="仿宋" w:eastAsia="仿宋" w:cs="仿宋"/>
          <w:b/>
          <w:bCs/>
        </w:rPr>
      </w:pPr>
      <w:bookmarkStart w:id="5" w:name="_Toc1988"/>
      <w:r>
        <w:rPr>
          <w:rStyle w:val="20"/>
          <w:rFonts w:hint="eastAsia" w:ascii="仿宋" w:hAnsi="仿宋" w:eastAsia="仿宋" w:cs="仿宋"/>
          <w:b/>
          <w:bCs/>
        </w:rPr>
        <w:t>第三章供应商资格证明材料</w:t>
      </w:r>
      <w:bookmarkEnd w:id="4"/>
      <w:bookmarkEnd w:id="5"/>
    </w:p>
    <w:p w14:paraId="74FE8724">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14:paraId="2E3862B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14:paraId="7A1814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14:paraId="6C60F5A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14:paraId="097F231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14:paraId="69E5480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14:paraId="6741D8B8">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14:paraId="698713A1">
      <w:pPr>
        <w:numPr>
          <w:ilvl w:val="0"/>
          <w:numId w:val="1"/>
        </w:numPr>
        <w:spacing w:line="500" w:lineRule="exact"/>
        <w:ind w:left="1200" w:leftChars="0" w:firstLine="0" w:firstLineChars="0"/>
        <w:rPr>
          <w:rStyle w:val="20"/>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51D8C90E">
      <w:pPr>
        <w:pStyle w:val="3"/>
        <w:numPr>
          <w:ilvl w:val="0"/>
          <w:numId w:val="0"/>
        </w:numPr>
        <w:rPr>
          <w:rStyle w:val="20"/>
          <w:rFonts w:hint="eastAsia" w:ascii="仿宋" w:hAnsi="仿宋" w:eastAsia="仿宋" w:cs="仿宋"/>
          <w:b/>
          <w:bCs/>
          <w:lang w:eastAsia="zh-CN"/>
        </w:rPr>
      </w:pPr>
      <w:r>
        <w:rPr>
          <w:rStyle w:val="20"/>
          <w:rFonts w:hint="eastAsia" w:ascii="仿宋" w:hAnsi="仿宋" w:eastAsia="仿宋" w:cs="仿宋"/>
          <w:b/>
          <w:bCs/>
          <w:lang w:val="en-US" w:eastAsia="zh-CN"/>
        </w:rPr>
        <w:t>第四章</w:t>
      </w:r>
      <w:r>
        <w:rPr>
          <w:rStyle w:val="20"/>
          <w:rFonts w:hint="eastAsia" w:ascii="仿宋" w:hAnsi="仿宋" w:eastAsia="仿宋" w:cs="仿宋"/>
          <w:b/>
          <w:bCs/>
          <w:lang w:eastAsia="zh-CN"/>
        </w:rPr>
        <w:t>商务要求</w:t>
      </w:r>
    </w:p>
    <w:p w14:paraId="0F6EA265">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*（一）、商务要求</w:t>
      </w:r>
    </w:p>
    <w:p w14:paraId="70EF94B0">
      <w:pPr>
        <w:numPr>
          <w:ilvl w:val="0"/>
          <w:numId w:val="2"/>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服务期限及地点：本项目服务期限为三年，合同一年一签，于每年末进行服务评价，评分须不低于80分，服务地点为成都市成华区</w:t>
      </w:r>
      <w:r>
        <w:rPr>
          <w:rFonts w:hint="eastAsia" w:ascii="仿宋" w:hAnsi="仿宋" w:eastAsia="仿宋" w:cs="仿宋"/>
          <w:sz w:val="28"/>
          <w:szCs w:val="28"/>
          <w:lang w:val="en-US" w:eastAsia="zh-CN"/>
        </w:rPr>
        <w:t>中医医院</w:t>
      </w:r>
    </w:p>
    <w:p w14:paraId="480B869E">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2、付款方法和条件：本项目根据实际使用耗材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试剂</w:t>
      </w:r>
      <w:r>
        <w:rPr>
          <w:rFonts w:hint="eastAsia" w:ascii="仿宋" w:hAnsi="仿宋" w:eastAsia="仿宋" w:cs="仿宋"/>
          <w:sz w:val="28"/>
          <w:szCs w:val="28"/>
        </w:rPr>
        <w:t>物资数量据实结算。</w:t>
      </w:r>
    </w:p>
    <w:p w14:paraId="5A62525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3、验收：验收标准以比选文件或比选申请文件和相关行业标准为准。</w:t>
      </w:r>
    </w:p>
    <w:p w14:paraId="7427A25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4、物资送到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后，其产品效期不少于该产品总效期的2/3。</w:t>
      </w:r>
    </w:p>
    <w:p w14:paraId="47FA7C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5、配送时限：按</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要求的时间配送（收到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采购计划后，要求5个工作日到货），满足应急配送要求（收到应急配送计划，要求24小时到货），如涉及到部分产品对于配送时限不能满足以上要求的，供应商须取得采购人同意后，按照新的配送时限完成配送。</w:t>
      </w:r>
    </w:p>
    <w:p w14:paraId="31E85E7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6、中选人在接到采购人的供货计划后，及时送货到采购人库房，确保采购人的医疗工作顺利进行。对有特殊储运要求的医疗器械严格按照要求存储和运输。冷链运输物资要求提供运输全程温度记录。</w:t>
      </w:r>
    </w:p>
    <w:p w14:paraId="216C95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7、中选人在执行过程中以采购人的实际需要安排供货，保证产品的质量，并提供产品伴随的技术服务，便于医疗物资的正确使用。</w:t>
      </w:r>
    </w:p>
    <w:p w14:paraId="252E71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有国家和地方政策性价格调整的产品，应按照政策规定执行采购价格。产品价格应按照四川省药械集中采购及医药价格监管平台挂网价最低价执行。如果由于政府相关政策要求和调整，采购人有权无条件终止合同。</w:t>
      </w:r>
    </w:p>
    <w:p w14:paraId="3B13FFD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9、由中选人提供的耗材物资质量或供货不及时所致的医疗纠纷，由中选人负责支付全部解决纠纷的费用（包括比选人向中选人追究经济赔偿），并承担由此引起的一切不良后果。</w:t>
      </w:r>
    </w:p>
    <w:p w14:paraId="1BD65CC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考核要求</w:t>
      </w:r>
    </w:p>
    <w:p w14:paraId="1ADBE7BE">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实行100分制。</w:t>
      </w:r>
    </w:p>
    <w:p w14:paraId="1D526BB5">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 xml:space="preserve">通过对中标人提供产品的品质保证能力、产品的资质证件、供货情况、服务情况等方面，每年度对中标人组织一次考核评估，考核评分＜80分视为不合格，招标人有权取消该中标人履约的资格。 </w:t>
      </w:r>
    </w:p>
    <w:p w14:paraId="59D0A617">
      <w:pPr>
        <w:tabs>
          <w:tab w:val="left" w:pos="851"/>
        </w:tabs>
        <w:adjustRightInd w:val="0"/>
        <w:snapToGrid w:val="0"/>
        <w:spacing w:before="80" w:after="80" w:line="360" w:lineRule="auto"/>
        <w:ind w:firstLine="480" w:firstLineChars="200"/>
        <w:rPr>
          <w:rFonts w:ascii="宋体" w:hAnsi="宋体"/>
          <w:sz w:val="24"/>
        </w:rPr>
      </w:pPr>
      <w:bookmarkStart w:id="6" w:name="_Hlk145518830"/>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具体考核标准</w:t>
      </w:r>
    </w:p>
    <w:tbl>
      <w:tblPr>
        <w:tblStyle w:val="2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39"/>
        <w:gridCol w:w="4841"/>
        <w:gridCol w:w="1316"/>
        <w:gridCol w:w="1316"/>
      </w:tblGrid>
      <w:tr w14:paraId="59EB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vAlign w:val="center"/>
          </w:tcPr>
          <w:p w14:paraId="3717D450">
            <w:pPr>
              <w:adjustRightInd w:val="0"/>
              <w:snapToGrid w:val="0"/>
              <w:spacing w:after="50" w:line="360" w:lineRule="auto"/>
              <w:jc w:val="center"/>
              <w:rPr>
                <w:rFonts w:ascii="宋体" w:hAnsi="宋体" w:cs="宋体"/>
                <w:b/>
                <w:szCs w:val="21"/>
              </w:rPr>
            </w:pPr>
            <w:r>
              <w:rPr>
                <w:rFonts w:hint="eastAsia" w:ascii="宋体" w:hAnsi="宋体" w:cs="宋体"/>
                <w:b/>
                <w:szCs w:val="21"/>
              </w:rPr>
              <w:t>考核表</w:t>
            </w:r>
          </w:p>
        </w:tc>
      </w:tr>
      <w:tr w14:paraId="16A9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E0F297B">
            <w:pPr>
              <w:adjustRightInd w:val="0"/>
              <w:snapToGrid w:val="0"/>
              <w:spacing w:after="50" w:line="360" w:lineRule="auto"/>
              <w:jc w:val="center"/>
              <w:rPr>
                <w:rFonts w:ascii="宋体" w:hAnsi="宋体" w:cs="宋体"/>
                <w:szCs w:val="21"/>
              </w:rPr>
            </w:pPr>
            <w:r>
              <w:rPr>
                <w:rFonts w:hint="eastAsia" w:ascii="宋体" w:hAnsi="宋体" w:cs="宋体"/>
                <w:szCs w:val="21"/>
              </w:rPr>
              <w:t>序号</w:t>
            </w:r>
          </w:p>
        </w:tc>
        <w:tc>
          <w:tcPr>
            <w:tcW w:w="1439" w:type="dxa"/>
            <w:vAlign w:val="center"/>
          </w:tcPr>
          <w:p w14:paraId="757185CD">
            <w:pPr>
              <w:adjustRightInd w:val="0"/>
              <w:snapToGrid w:val="0"/>
              <w:spacing w:after="50" w:line="360" w:lineRule="auto"/>
              <w:jc w:val="center"/>
              <w:rPr>
                <w:rFonts w:ascii="宋体" w:hAnsi="宋体" w:cs="宋体"/>
                <w:szCs w:val="21"/>
              </w:rPr>
            </w:pPr>
            <w:r>
              <w:rPr>
                <w:rFonts w:hint="eastAsia" w:ascii="宋体" w:hAnsi="宋体" w:cs="宋体"/>
                <w:szCs w:val="21"/>
              </w:rPr>
              <w:t>考核项目</w:t>
            </w:r>
          </w:p>
        </w:tc>
        <w:tc>
          <w:tcPr>
            <w:tcW w:w="4841" w:type="dxa"/>
          </w:tcPr>
          <w:p w14:paraId="572A10A1">
            <w:pPr>
              <w:adjustRightInd w:val="0"/>
              <w:snapToGrid w:val="0"/>
              <w:spacing w:after="50" w:line="360" w:lineRule="auto"/>
              <w:jc w:val="center"/>
              <w:rPr>
                <w:rFonts w:ascii="宋体" w:hAnsi="宋体" w:cs="宋体"/>
                <w:szCs w:val="21"/>
              </w:rPr>
            </w:pPr>
            <w:r>
              <w:rPr>
                <w:rFonts w:hint="eastAsia" w:ascii="宋体" w:hAnsi="宋体" w:cs="宋体"/>
                <w:szCs w:val="21"/>
              </w:rPr>
              <w:t>考核内容</w:t>
            </w:r>
          </w:p>
        </w:tc>
        <w:tc>
          <w:tcPr>
            <w:tcW w:w="1316" w:type="dxa"/>
            <w:vAlign w:val="center"/>
          </w:tcPr>
          <w:p w14:paraId="1FFFEF2A">
            <w:pPr>
              <w:adjustRightInd w:val="0"/>
              <w:snapToGrid w:val="0"/>
              <w:spacing w:after="50" w:line="360" w:lineRule="auto"/>
              <w:jc w:val="center"/>
              <w:rPr>
                <w:rFonts w:ascii="宋体" w:hAnsi="宋体" w:cs="宋体"/>
                <w:szCs w:val="21"/>
              </w:rPr>
            </w:pPr>
            <w:r>
              <w:rPr>
                <w:rFonts w:hint="eastAsia" w:ascii="宋体" w:hAnsi="宋体" w:cs="宋体"/>
                <w:szCs w:val="21"/>
              </w:rPr>
              <w:t>扣分或得分</w:t>
            </w:r>
          </w:p>
        </w:tc>
        <w:tc>
          <w:tcPr>
            <w:tcW w:w="1316" w:type="dxa"/>
            <w:vAlign w:val="center"/>
          </w:tcPr>
          <w:p w14:paraId="3E27576B">
            <w:pPr>
              <w:adjustRightInd w:val="0"/>
              <w:snapToGrid w:val="0"/>
              <w:spacing w:after="50" w:line="360" w:lineRule="auto"/>
              <w:jc w:val="center"/>
              <w:rPr>
                <w:rFonts w:ascii="宋体" w:hAnsi="宋体" w:cs="宋体"/>
                <w:szCs w:val="21"/>
              </w:rPr>
            </w:pPr>
            <w:r>
              <w:rPr>
                <w:rFonts w:hint="eastAsia" w:ascii="宋体" w:hAnsi="宋体" w:cs="宋体"/>
                <w:szCs w:val="21"/>
              </w:rPr>
              <w:t>扣分理由</w:t>
            </w:r>
          </w:p>
        </w:tc>
      </w:tr>
      <w:tr w14:paraId="608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042EF2AD">
            <w:pPr>
              <w:adjustRightInd w:val="0"/>
              <w:snapToGrid w:val="0"/>
              <w:spacing w:after="50" w:line="360" w:lineRule="auto"/>
              <w:jc w:val="center"/>
              <w:rPr>
                <w:rFonts w:ascii="宋体" w:hAnsi="宋体" w:cs="宋体"/>
                <w:szCs w:val="21"/>
              </w:rPr>
            </w:pPr>
            <w:r>
              <w:rPr>
                <w:rFonts w:hint="eastAsia" w:ascii="宋体" w:hAnsi="宋体" w:cs="宋体"/>
                <w:szCs w:val="21"/>
              </w:rPr>
              <w:t>1</w:t>
            </w:r>
          </w:p>
        </w:tc>
        <w:tc>
          <w:tcPr>
            <w:tcW w:w="1439" w:type="dxa"/>
            <w:vAlign w:val="center"/>
          </w:tcPr>
          <w:p w14:paraId="7075FDE4">
            <w:pPr>
              <w:adjustRightInd w:val="0"/>
              <w:snapToGrid w:val="0"/>
              <w:spacing w:after="50" w:line="360" w:lineRule="auto"/>
              <w:jc w:val="center"/>
              <w:rPr>
                <w:rFonts w:ascii="宋体" w:hAnsi="宋体" w:cs="宋体"/>
                <w:szCs w:val="21"/>
              </w:rPr>
            </w:pPr>
            <w:r>
              <w:rPr>
                <w:rFonts w:hint="eastAsia" w:ascii="宋体" w:hAnsi="宋体" w:cs="宋体"/>
                <w:szCs w:val="21"/>
              </w:rPr>
              <w:t>配送质量及规范性</w:t>
            </w:r>
          </w:p>
        </w:tc>
        <w:tc>
          <w:tcPr>
            <w:tcW w:w="4841" w:type="dxa"/>
            <w:vAlign w:val="center"/>
          </w:tcPr>
          <w:p w14:paraId="7A659541">
            <w:pPr>
              <w:adjustRightInd w:val="0"/>
              <w:snapToGrid w:val="0"/>
              <w:spacing w:after="50" w:line="360" w:lineRule="auto"/>
              <w:rPr>
                <w:rFonts w:ascii="宋体" w:hAnsi="宋体" w:cs="宋体"/>
                <w:szCs w:val="21"/>
              </w:rPr>
            </w:pPr>
            <w:r>
              <w:rPr>
                <w:rFonts w:hint="eastAsia" w:ascii="宋体" w:hAnsi="宋体" w:cs="宋体"/>
                <w:szCs w:val="21"/>
              </w:rPr>
              <w:t>①产品发生质量问题一次扣5分；</w:t>
            </w:r>
          </w:p>
          <w:p w14:paraId="3539F64D">
            <w:pPr>
              <w:adjustRightInd w:val="0"/>
              <w:snapToGrid w:val="0"/>
              <w:spacing w:after="50" w:line="360" w:lineRule="auto"/>
              <w:rPr>
                <w:rFonts w:ascii="宋体" w:hAnsi="宋体" w:cs="宋体"/>
                <w:szCs w:val="21"/>
              </w:rPr>
            </w:pPr>
            <w:r>
              <w:rPr>
                <w:rFonts w:hint="eastAsia" w:ascii="宋体" w:hAnsi="宋体" w:cs="宋体"/>
                <w:szCs w:val="21"/>
              </w:rPr>
              <w:t>②未按照招标人要求供货，包括实际送达的产品名称、厂家、规格型号、数量、批号、效期等与送货清单不一致、送货单登记不全、票据错误、一次性产品每次供货批次超过2个以上的、所供产品合格证未随货同行等，发生一次扣5分</w:t>
            </w:r>
          </w:p>
        </w:tc>
        <w:tc>
          <w:tcPr>
            <w:tcW w:w="1316" w:type="dxa"/>
            <w:vAlign w:val="center"/>
          </w:tcPr>
          <w:p w14:paraId="4B106E2C">
            <w:pPr>
              <w:adjustRightInd w:val="0"/>
              <w:snapToGrid w:val="0"/>
              <w:spacing w:after="50" w:line="360" w:lineRule="auto"/>
              <w:jc w:val="center"/>
              <w:rPr>
                <w:rFonts w:ascii="宋体" w:hAnsi="宋体" w:cs="宋体"/>
                <w:szCs w:val="21"/>
              </w:rPr>
            </w:pPr>
          </w:p>
        </w:tc>
        <w:tc>
          <w:tcPr>
            <w:tcW w:w="1316" w:type="dxa"/>
            <w:vAlign w:val="center"/>
          </w:tcPr>
          <w:p w14:paraId="569B847C">
            <w:pPr>
              <w:adjustRightInd w:val="0"/>
              <w:snapToGrid w:val="0"/>
              <w:spacing w:after="50" w:line="360" w:lineRule="auto"/>
              <w:jc w:val="center"/>
              <w:rPr>
                <w:rFonts w:ascii="宋体" w:hAnsi="宋体" w:cs="宋体"/>
                <w:szCs w:val="21"/>
              </w:rPr>
            </w:pPr>
          </w:p>
        </w:tc>
      </w:tr>
      <w:tr w14:paraId="7C4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3A2F3CB9">
            <w:pPr>
              <w:adjustRightInd w:val="0"/>
              <w:snapToGrid w:val="0"/>
              <w:spacing w:after="50" w:line="360" w:lineRule="auto"/>
              <w:jc w:val="center"/>
              <w:rPr>
                <w:rFonts w:ascii="宋体" w:hAnsi="宋体" w:cs="宋体"/>
                <w:szCs w:val="21"/>
              </w:rPr>
            </w:pPr>
            <w:r>
              <w:rPr>
                <w:rFonts w:hint="eastAsia" w:ascii="宋体" w:hAnsi="宋体" w:cs="宋体"/>
                <w:szCs w:val="21"/>
              </w:rPr>
              <w:t>2</w:t>
            </w:r>
          </w:p>
        </w:tc>
        <w:tc>
          <w:tcPr>
            <w:tcW w:w="1439" w:type="dxa"/>
            <w:vAlign w:val="center"/>
          </w:tcPr>
          <w:p w14:paraId="3172BB4A">
            <w:pPr>
              <w:adjustRightInd w:val="0"/>
              <w:snapToGrid w:val="0"/>
              <w:spacing w:after="50" w:line="360" w:lineRule="auto"/>
              <w:jc w:val="center"/>
              <w:rPr>
                <w:rFonts w:ascii="宋体" w:hAnsi="宋体" w:cs="宋体"/>
                <w:szCs w:val="21"/>
              </w:rPr>
            </w:pPr>
            <w:r>
              <w:rPr>
                <w:rFonts w:hint="eastAsia" w:ascii="宋体" w:hAnsi="宋体" w:cs="宋体"/>
                <w:szCs w:val="21"/>
              </w:rPr>
              <w:t>产品的资质符合性</w:t>
            </w:r>
          </w:p>
        </w:tc>
        <w:tc>
          <w:tcPr>
            <w:tcW w:w="4841" w:type="dxa"/>
            <w:vAlign w:val="center"/>
          </w:tcPr>
          <w:p w14:paraId="7A7E0FE6">
            <w:pPr>
              <w:adjustRightInd w:val="0"/>
              <w:snapToGrid w:val="0"/>
              <w:spacing w:after="50" w:line="360" w:lineRule="auto"/>
              <w:rPr>
                <w:rFonts w:ascii="宋体" w:hAnsi="宋体" w:cs="宋体"/>
                <w:szCs w:val="21"/>
              </w:rPr>
            </w:pPr>
            <w:r>
              <w:rPr>
                <w:rFonts w:hint="eastAsia" w:ascii="宋体" w:hAnsi="宋体" w:cs="宋体"/>
                <w:szCs w:val="21"/>
              </w:rPr>
              <w:t>①所供产品必须为具备相关资质的合格产品，且资质必须在有效期内，发生一次资质不全或失效期扣15分</w:t>
            </w:r>
          </w:p>
        </w:tc>
        <w:tc>
          <w:tcPr>
            <w:tcW w:w="1316" w:type="dxa"/>
            <w:vAlign w:val="center"/>
          </w:tcPr>
          <w:p w14:paraId="63700219">
            <w:pPr>
              <w:adjustRightInd w:val="0"/>
              <w:snapToGrid w:val="0"/>
              <w:spacing w:after="50" w:line="360" w:lineRule="auto"/>
              <w:jc w:val="center"/>
              <w:rPr>
                <w:rFonts w:ascii="宋体" w:hAnsi="宋体" w:cs="宋体"/>
                <w:szCs w:val="21"/>
              </w:rPr>
            </w:pPr>
          </w:p>
        </w:tc>
        <w:tc>
          <w:tcPr>
            <w:tcW w:w="1316" w:type="dxa"/>
            <w:vAlign w:val="center"/>
          </w:tcPr>
          <w:p w14:paraId="6C25F701">
            <w:pPr>
              <w:adjustRightInd w:val="0"/>
              <w:snapToGrid w:val="0"/>
              <w:spacing w:after="50" w:line="360" w:lineRule="auto"/>
              <w:jc w:val="center"/>
              <w:rPr>
                <w:rFonts w:ascii="宋体" w:hAnsi="宋体" w:cs="宋体"/>
                <w:szCs w:val="21"/>
              </w:rPr>
            </w:pPr>
          </w:p>
        </w:tc>
      </w:tr>
      <w:tr w14:paraId="7226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665D0C7A">
            <w:pPr>
              <w:adjustRightInd w:val="0"/>
              <w:snapToGrid w:val="0"/>
              <w:spacing w:after="50" w:line="360" w:lineRule="auto"/>
              <w:jc w:val="center"/>
              <w:rPr>
                <w:rFonts w:ascii="宋体" w:hAnsi="宋体" w:cs="宋体"/>
                <w:szCs w:val="21"/>
              </w:rPr>
            </w:pPr>
            <w:r>
              <w:rPr>
                <w:rFonts w:hint="eastAsia" w:ascii="宋体" w:hAnsi="宋体" w:cs="宋体"/>
                <w:szCs w:val="21"/>
              </w:rPr>
              <w:t>3</w:t>
            </w:r>
          </w:p>
        </w:tc>
        <w:tc>
          <w:tcPr>
            <w:tcW w:w="1439" w:type="dxa"/>
            <w:vAlign w:val="center"/>
          </w:tcPr>
          <w:p w14:paraId="73C730E3">
            <w:pPr>
              <w:adjustRightInd w:val="0"/>
              <w:snapToGrid w:val="0"/>
              <w:spacing w:after="50" w:line="360" w:lineRule="auto"/>
              <w:jc w:val="center"/>
              <w:rPr>
                <w:rFonts w:ascii="宋体" w:hAnsi="宋体" w:cs="宋体"/>
                <w:szCs w:val="21"/>
              </w:rPr>
            </w:pPr>
            <w:r>
              <w:rPr>
                <w:rFonts w:hint="eastAsia" w:ascii="宋体" w:hAnsi="宋体" w:cs="宋体"/>
                <w:szCs w:val="21"/>
              </w:rPr>
              <w:t>供货情况</w:t>
            </w:r>
          </w:p>
        </w:tc>
        <w:tc>
          <w:tcPr>
            <w:tcW w:w="4841" w:type="dxa"/>
            <w:vAlign w:val="center"/>
          </w:tcPr>
          <w:p w14:paraId="782864CC">
            <w:pPr>
              <w:adjustRightInd w:val="0"/>
              <w:snapToGrid w:val="0"/>
              <w:spacing w:after="50" w:line="360" w:lineRule="auto"/>
              <w:rPr>
                <w:rFonts w:ascii="宋体" w:hAnsi="宋体" w:cs="宋体"/>
                <w:szCs w:val="21"/>
              </w:rPr>
            </w:pPr>
            <w:r>
              <w:rPr>
                <w:rFonts w:hint="eastAsia" w:ascii="宋体" w:hAnsi="宋体" w:cs="宋体"/>
                <w:szCs w:val="21"/>
              </w:rPr>
              <w:t>①未按照招标人提出的供货时间送货，发生一次扣5分；</w:t>
            </w:r>
          </w:p>
          <w:p w14:paraId="59294BE3">
            <w:pPr>
              <w:adjustRightInd w:val="0"/>
              <w:snapToGrid w:val="0"/>
              <w:spacing w:after="50" w:line="360" w:lineRule="auto"/>
              <w:rPr>
                <w:rFonts w:ascii="宋体" w:hAnsi="宋体" w:cs="宋体"/>
                <w:szCs w:val="21"/>
              </w:rPr>
            </w:pPr>
            <w:r>
              <w:rPr>
                <w:rFonts w:hint="eastAsia" w:ascii="宋体" w:hAnsi="宋体" w:cs="宋体"/>
                <w:szCs w:val="21"/>
              </w:rPr>
              <w:t>②中标人应按招标人通知的产品名称、规格型号、数量供货。多送、少送均视为未按要求送货，发生一次扣2分；</w:t>
            </w:r>
          </w:p>
          <w:p w14:paraId="4EE527A7">
            <w:pPr>
              <w:adjustRightInd w:val="0"/>
              <w:snapToGrid w:val="0"/>
              <w:spacing w:after="50" w:line="360" w:lineRule="auto"/>
              <w:rPr>
                <w:rFonts w:ascii="宋体" w:hAnsi="宋体" w:cs="宋体"/>
                <w:szCs w:val="21"/>
              </w:rPr>
            </w:pPr>
            <w:r>
              <w:rPr>
                <w:rFonts w:hint="eastAsia" w:ascii="宋体" w:hAnsi="宋体" w:cs="宋体"/>
                <w:szCs w:val="21"/>
              </w:rPr>
              <w:t>③每一批次所供货物发现有产品有效期自验收合格之日起低于货物本身有效期的三分之二，发生一次扣5分，特殊情况除外，并拒收该批次产品；</w:t>
            </w:r>
          </w:p>
          <w:p w14:paraId="67980DA2">
            <w:pPr>
              <w:adjustRightInd w:val="0"/>
              <w:snapToGrid w:val="0"/>
              <w:spacing w:after="50" w:line="360" w:lineRule="auto"/>
              <w:rPr>
                <w:rFonts w:ascii="宋体" w:hAnsi="宋体" w:cs="宋体"/>
                <w:szCs w:val="21"/>
              </w:rPr>
            </w:pPr>
            <w:r>
              <w:rPr>
                <w:rFonts w:hint="eastAsia" w:ascii="宋体" w:hAnsi="宋体" w:cs="宋体"/>
                <w:szCs w:val="21"/>
              </w:rPr>
              <w:t>④针对不同产品，未达到运输及仓储应符合对应说明书或规范，进行产品的储存或运输，经招标人发现一次扣5分，并拒收该批次产品。</w:t>
            </w:r>
          </w:p>
        </w:tc>
        <w:tc>
          <w:tcPr>
            <w:tcW w:w="1316" w:type="dxa"/>
            <w:vAlign w:val="center"/>
          </w:tcPr>
          <w:p w14:paraId="24F975B1">
            <w:pPr>
              <w:adjustRightInd w:val="0"/>
              <w:snapToGrid w:val="0"/>
              <w:spacing w:after="50" w:line="360" w:lineRule="auto"/>
              <w:jc w:val="center"/>
              <w:rPr>
                <w:rFonts w:ascii="宋体" w:hAnsi="宋体" w:cs="宋体"/>
                <w:szCs w:val="21"/>
              </w:rPr>
            </w:pPr>
          </w:p>
        </w:tc>
        <w:tc>
          <w:tcPr>
            <w:tcW w:w="1316" w:type="dxa"/>
            <w:vAlign w:val="center"/>
          </w:tcPr>
          <w:p w14:paraId="766619BF">
            <w:pPr>
              <w:adjustRightInd w:val="0"/>
              <w:snapToGrid w:val="0"/>
              <w:spacing w:after="50" w:line="360" w:lineRule="auto"/>
              <w:jc w:val="center"/>
              <w:rPr>
                <w:rFonts w:ascii="宋体" w:hAnsi="宋体" w:cs="宋体"/>
                <w:szCs w:val="21"/>
              </w:rPr>
            </w:pPr>
          </w:p>
        </w:tc>
      </w:tr>
      <w:tr w14:paraId="3A6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05F4717">
            <w:pPr>
              <w:adjustRightInd w:val="0"/>
              <w:snapToGrid w:val="0"/>
              <w:spacing w:after="50" w:line="360" w:lineRule="auto"/>
              <w:jc w:val="center"/>
              <w:rPr>
                <w:rFonts w:ascii="宋体" w:hAnsi="宋体" w:cs="宋体"/>
                <w:szCs w:val="21"/>
              </w:rPr>
            </w:pPr>
            <w:r>
              <w:rPr>
                <w:rFonts w:hint="eastAsia" w:ascii="宋体" w:hAnsi="宋体" w:cs="宋体"/>
                <w:szCs w:val="21"/>
              </w:rPr>
              <w:t>4</w:t>
            </w:r>
          </w:p>
        </w:tc>
        <w:tc>
          <w:tcPr>
            <w:tcW w:w="1439" w:type="dxa"/>
            <w:vAlign w:val="center"/>
          </w:tcPr>
          <w:p w14:paraId="5087E96E">
            <w:pPr>
              <w:adjustRightInd w:val="0"/>
              <w:snapToGrid w:val="0"/>
              <w:spacing w:after="50" w:line="360" w:lineRule="auto"/>
              <w:jc w:val="center"/>
              <w:rPr>
                <w:rFonts w:ascii="宋体" w:hAnsi="宋体" w:cs="宋体"/>
                <w:szCs w:val="21"/>
              </w:rPr>
            </w:pPr>
            <w:r>
              <w:rPr>
                <w:rFonts w:hint="eastAsia" w:ascii="宋体" w:hAnsi="宋体" w:cs="宋体"/>
                <w:szCs w:val="21"/>
              </w:rPr>
              <w:t>服务情况</w:t>
            </w:r>
          </w:p>
        </w:tc>
        <w:tc>
          <w:tcPr>
            <w:tcW w:w="4841" w:type="dxa"/>
            <w:vAlign w:val="center"/>
          </w:tcPr>
          <w:p w14:paraId="4DBF628E">
            <w:pPr>
              <w:adjustRightInd w:val="0"/>
              <w:snapToGrid w:val="0"/>
              <w:spacing w:after="50" w:line="360" w:lineRule="auto"/>
              <w:rPr>
                <w:rFonts w:ascii="宋体" w:hAnsi="宋体" w:cs="宋体"/>
                <w:szCs w:val="21"/>
              </w:rPr>
            </w:pPr>
            <w:r>
              <w:rPr>
                <w:rFonts w:hint="eastAsia" w:ascii="宋体" w:hAnsi="宋体" w:cs="宋体"/>
                <w:szCs w:val="21"/>
              </w:rPr>
              <w:t>①货物在验收过程中，发生问题时，中标人应积极响应。如产品不符合验收标准，需要退货、换货，中标人未按要求及时办理的，发生一次扣5分；</w:t>
            </w:r>
          </w:p>
          <w:p w14:paraId="3A2D5DA9">
            <w:pPr>
              <w:adjustRightInd w:val="0"/>
              <w:snapToGrid w:val="0"/>
              <w:spacing w:after="50" w:line="360" w:lineRule="auto"/>
              <w:rPr>
                <w:rFonts w:ascii="宋体" w:hAnsi="宋体" w:cs="宋体"/>
                <w:szCs w:val="21"/>
              </w:rPr>
            </w:pPr>
            <w:r>
              <w:rPr>
                <w:rFonts w:hint="eastAsia" w:ascii="宋体" w:hAnsi="宋体" w:cs="宋体"/>
                <w:szCs w:val="21"/>
              </w:rPr>
              <w:t>②招标人试剂管理中需要中标人配合工作的，中标人应积极主动响应配合。中标人响应配合不积极、推诿、拖延、态度不良的，发生一次扣5分；</w:t>
            </w:r>
          </w:p>
          <w:p w14:paraId="020500E6">
            <w:pPr>
              <w:adjustRightInd w:val="0"/>
              <w:snapToGrid w:val="0"/>
              <w:spacing w:after="50" w:line="360" w:lineRule="auto"/>
              <w:rPr>
                <w:rFonts w:ascii="宋体" w:hAnsi="宋体" w:cs="宋体"/>
                <w:szCs w:val="21"/>
              </w:rPr>
            </w:pPr>
            <w:r>
              <w:rPr>
                <w:rFonts w:hint="eastAsia" w:ascii="宋体" w:hAnsi="宋体" w:cs="宋体"/>
                <w:szCs w:val="21"/>
              </w:rPr>
              <w:t>③所有产品都必须送达招标人指定位置，并按要求摆放整齐，违反一次扣5分；</w:t>
            </w:r>
          </w:p>
          <w:p w14:paraId="54FD1421">
            <w:pPr>
              <w:adjustRightInd w:val="0"/>
              <w:snapToGrid w:val="0"/>
              <w:spacing w:after="50" w:line="360" w:lineRule="auto"/>
              <w:rPr>
                <w:rFonts w:ascii="宋体" w:hAnsi="宋体" w:cs="宋体"/>
                <w:szCs w:val="21"/>
              </w:rPr>
            </w:pPr>
            <w:r>
              <w:rPr>
                <w:rFonts w:hint="eastAsia" w:ascii="宋体" w:hAnsi="宋体" w:cs="宋体"/>
                <w:szCs w:val="21"/>
              </w:rPr>
              <w:t>④产品在临床使用过程中出现问题，甚至因使用产品质量问题导致可疑医疗器械不良事件、医疗纠纷、医疗事故等，中标人应按招标人通知的时间到院处理，若中标人不能积极配合妥善处理的，发生一次扣10-15分；</w:t>
            </w:r>
          </w:p>
          <w:p w14:paraId="6AEEDAB5">
            <w:pPr>
              <w:adjustRightInd w:val="0"/>
              <w:snapToGrid w:val="0"/>
              <w:spacing w:after="50" w:line="360" w:lineRule="auto"/>
              <w:rPr>
                <w:rFonts w:ascii="宋体" w:hAnsi="宋体" w:cs="宋体"/>
                <w:szCs w:val="21"/>
              </w:rPr>
            </w:pPr>
            <w:r>
              <w:rPr>
                <w:rFonts w:hint="eastAsia" w:ascii="宋体" w:hAnsi="宋体" w:cs="宋体"/>
                <w:szCs w:val="21"/>
              </w:rPr>
              <w:t>⑤中标人所供产品价格如有调整的，应及时与招标人相关负责人员联系，不得在送货达到现场后再告知价格调整，违反一次扣5分。</w:t>
            </w:r>
          </w:p>
        </w:tc>
        <w:tc>
          <w:tcPr>
            <w:tcW w:w="1316" w:type="dxa"/>
            <w:vAlign w:val="center"/>
          </w:tcPr>
          <w:p w14:paraId="419A74E4">
            <w:pPr>
              <w:adjustRightInd w:val="0"/>
              <w:snapToGrid w:val="0"/>
              <w:spacing w:after="50" w:line="360" w:lineRule="auto"/>
              <w:jc w:val="center"/>
              <w:rPr>
                <w:rFonts w:ascii="宋体" w:hAnsi="宋体" w:cs="宋体"/>
                <w:szCs w:val="21"/>
              </w:rPr>
            </w:pPr>
          </w:p>
        </w:tc>
        <w:tc>
          <w:tcPr>
            <w:tcW w:w="1316" w:type="dxa"/>
            <w:vAlign w:val="center"/>
          </w:tcPr>
          <w:p w14:paraId="60582896">
            <w:pPr>
              <w:adjustRightInd w:val="0"/>
              <w:snapToGrid w:val="0"/>
              <w:spacing w:after="50" w:line="360" w:lineRule="auto"/>
              <w:jc w:val="center"/>
              <w:rPr>
                <w:rFonts w:ascii="宋体" w:hAnsi="宋体" w:cs="宋体"/>
                <w:szCs w:val="21"/>
              </w:rPr>
            </w:pPr>
          </w:p>
        </w:tc>
      </w:tr>
      <w:tr w14:paraId="069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14:paraId="5A4C22C3">
            <w:pPr>
              <w:adjustRightInd w:val="0"/>
              <w:snapToGrid w:val="0"/>
              <w:spacing w:after="50" w:line="360" w:lineRule="auto"/>
              <w:jc w:val="center"/>
              <w:rPr>
                <w:rFonts w:ascii="宋体" w:hAnsi="宋体" w:cs="宋体"/>
                <w:szCs w:val="21"/>
              </w:rPr>
            </w:pPr>
            <w:r>
              <w:rPr>
                <w:rFonts w:hint="eastAsia" w:ascii="宋体" w:hAnsi="宋体" w:cs="宋体"/>
                <w:szCs w:val="21"/>
              </w:rPr>
              <w:t>合计得分</w:t>
            </w:r>
          </w:p>
        </w:tc>
        <w:tc>
          <w:tcPr>
            <w:tcW w:w="7473" w:type="dxa"/>
            <w:gridSpan w:val="3"/>
          </w:tcPr>
          <w:p w14:paraId="5A34354C">
            <w:pPr>
              <w:adjustRightInd w:val="0"/>
              <w:snapToGrid w:val="0"/>
              <w:spacing w:after="50" w:line="360" w:lineRule="auto"/>
              <w:jc w:val="center"/>
              <w:rPr>
                <w:rFonts w:ascii="宋体" w:hAnsi="宋体" w:cs="宋体"/>
                <w:szCs w:val="21"/>
              </w:rPr>
            </w:pPr>
          </w:p>
        </w:tc>
      </w:tr>
      <w:bookmarkEnd w:id="6"/>
    </w:tbl>
    <w:p w14:paraId="26C7215B">
      <w:pPr>
        <w:pStyle w:val="4"/>
        <w:pageBreakBefore w:val="0"/>
        <w:widowControl w:val="0"/>
        <w:tabs>
          <w:tab w:val="left" w:pos="720"/>
        </w:tabs>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kern w:val="2"/>
          <w:sz w:val="28"/>
          <w:szCs w:val="28"/>
          <w:lang w:val="en-US" w:eastAsia="zh-CN" w:bidi="ar-SA"/>
        </w:rPr>
      </w:pPr>
    </w:p>
    <w:p w14:paraId="4C3B5617">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p>
    <w:p w14:paraId="6EE5918C">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（二）、技术要求</w:t>
      </w:r>
    </w:p>
    <w:p w14:paraId="21FF1A1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1、</w:t>
      </w:r>
      <w:r>
        <w:rPr>
          <w:rFonts w:hint="eastAsia" w:ascii="宋体" w:hAnsi="宋体"/>
          <w:b/>
          <w:bCs/>
          <w:sz w:val="24"/>
          <w:szCs w:val="32"/>
        </w:rPr>
        <w:t>质量要求</w:t>
      </w:r>
    </w:p>
    <w:p w14:paraId="2299053A">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中标人提供产品应是全新的，未使用过的，并且是非长期积压的库存商品，完全符合国家及行业标准和招标人要求的质量、规格、性能的要求。所提供货物的有效期自验收合格之日起不能低于货物本身有效期的三分之二，特殊情况除外。</w:t>
      </w:r>
    </w:p>
    <w:p w14:paraId="675F7F5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针对不同产品，运输及仓储应符合对应说明书或规范进行产品的储存及运输要求。</w:t>
      </w:r>
    </w:p>
    <w:p w14:paraId="2A73ED6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中标人所供医用耗材必须符合国家医疗器械或药品质量标准和相关要求，确保临床使用安全有效。</w:t>
      </w:r>
    </w:p>
    <w:p w14:paraId="5DBA9F8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bCs/>
          <w:sz w:val="24"/>
          <w:lang w:eastAsia="zh-CN"/>
        </w:rPr>
        <w:t>）</w:t>
      </w:r>
      <w:r>
        <w:rPr>
          <w:rFonts w:hint="eastAsia" w:ascii="宋体" w:hAnsi="宋体" w:cs="宋体"/>
          <w:bCs/>
          <w:sz w:val="24"/>
        </w:rPr>
        <w:t>医用耗材的名称、剂型（如涉及）、规格、价格和包装等须与官方平台公布的产品信息一致，不得更改。</w:t>
      </w:r>
    </w:p>
    <w:p w14:paraId="6EDD3EBF">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2、</w:t>
      </w:r>
      <w:r>
        <w:rPr>
          <w:rFonts w:hint="eastAsia" w:ascii="宋体" w:hAnsi="宋体"/>
          <w:b/>
          <w:bCs/>
          <w:sz w:val="24"/>
          <w:szCs w:val="32"/>
        </w:rPr>
        <w:t>售后服务要求</w:t>
      </w:r>
    </w:p>
    <w:p w14:paraId="0A62EE20">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投标人应按照招标人要求的品牌、产地、质量、价格、规格、有效期及时供货。如中标后不能满足上述招标人需求，直接影响招标人正常工作的，对招标人造成直接或间接经济损失及负面影响的，将停止中标人供货资格，并按照相关法律及规定承担赔偿责任。</w:t>
      </w:r>
    </w:p>
    <w:p w14:paraId="44C6547D">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对配送医用耗材进行跟踪服务，确保安全、正常使用。若临床科室在使用医用耗材过程中发现质量问题，中标人应第一时间抵达现场，及时进行解决，并承担相应责任。</w:t>
      </w:r>
    </w:p>
    <w:p w14:paraId="75C012D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3、</w:t>
      </w:r>
      <w:r>
        <w:rPr>
          <w:rFonts w:hint="eastAsia" w:ascii="宋体" w:hAnsi="宋体"/>
          <w:b/>
          <w:bCs/>
          <w:sz w:val="24"/>
          <w:szCs w:val="32"/>
        </w:rPr>
        <w:t>运输要求</w:t>
      </w:r>
    </w:p>
    <w:p w14:paraId="60085302">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rPr>
        <w:t>如涉及到冷链运输的产品，中标人的物流体系应具备冷链运输条件，从产品出库到招标人交接过程能实现全程无缝冷链运输能力，过程中严格按照冷链要求执行，从而保证产品在物流过程中的质量。</w:t>
      </w:r>
    </w:p>
    <w:p w14:paraId="3E7BA28C">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4、</w:t>
      </w:r>
      <w:r>
        <w:rPr>
          <w:rFonts w:hint="eastAsia" w:ascii="宋体" w:hAnsi="宋体"/>
          <w:b/>
          <w:bCs/>
          <w:sz w:val="24"/>
          <w:szCs w:val="32"/>
        </w:rPr>
        <w:t>配送及时性要求</w:t>
      </w:r>
    </w:p>
    <w:p w14:paraId="0120FA7A">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rPr>
        <w:t>、按时、按质、按量向招标人提供耗材，完成配送任务，备有充足库存，负责产品的运输、现场搬运，并按要求送达招标人指定地点。</w:t>
      </w:r>
    </w:p>
    <w:p w14:paraId="30EBB4BD">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、中标人应在</w:t>
      </w:r>
      <w:r>
        <w:rPr>
          <w:rFonts w:ascii="宋体" w:hAnsi="宋体" w:cs="宋体"/>
          <w:bCs/>
          <w:sz w:val="24"/>
        </w:rPr>
        <w:t>1</w:t>
      </w:r>
      <w:r>
        <w:rPr>
          <w:rFonts w:hint="eastAsia" w:ascii="宋体" w:hAnsi="宋体" w:cs="宋体"/>
          <w:bCs/>
          <w:sz w:val="24"/>
        </w:rPr>
        <w:t>小时内响应招标人的订单，并从订单下达之时起，原则上72小时内将产品送达，如遇突发事件或特殊情况，不论工作日还是节假日原则上均在24工作小时内将产品送达。</w:t>
      </w:r>
    </w:p>
    <w:p w14:paraId="52167A6A">
      <w:pPr>
        <w:rPr>
          <w:rFonts w:hint="default"/>
          <w:lang w:val="en-US" w:eastAsia="zh-CN"/>
        </w:rPr>
      </w:pPr>
    </w:p>
    <w:p w14:paraId="1A77A5DA">
      <w:pPr>
        <w:rPr>
          <w:rFonts w:hint="eastAsia"/>
        </w:rPr>
      </w:pPr>
    </w:p>
    <w:p w14:paraId="0B08E030">
      <w:pPr>
        <w:pStyle w:val="4"/>
        <w:rPr>
          <w:rFonts w:hint="eastAsia"/>
        </w:rPr>
      </w:pPr>
    </w:p>
    <w:p w14:paraId="2227E7F5">
      <w:pPr>
        <w:jc w:val="center"/>
        <w:rPr>
          <w:rFonts w:ascii="宋体" w:hAnsi="宋体" w:cs="宋体"/>
          <w:b/>
          <w:sz w:val="32"/>
          <w:szCs w:val="32"/>
        </w:rPr>
      </w:pPr>
      <w:r>
        <w:rPr>
          <w:rFonts w:hint="eastAsia" w:ascii="宋体" w:hAnsi="宋体" w:cs="宋体"/>
          <w:b/>
          <w:sz w:val="32"/>
          <w:szCs w:val="32"/>
        </w:rPr>
        <w:t>封面</w:t>
      </w:r>
    </w:p>
    <w:p w14:paraId="667F6C5E">
      <w:pPr>
        <w:jc w:val="center"/>
        <w:rPr>
          <w:rFonts w:ascii="宋体" w:hAnsi="宋体" w:cs="宋体"/>
          <w:b/>
          <w:sz w:val="32"/>
          <w:szCs w:val="32"/>
        </w:rPr>
      </w:pPr>
    </w:p>
    <w:p w14:paraId="75748B49">
      <w:pPr>
        <w:ind w:firstLine="6526" w:firstLineChars="1813"/>
        <w:rPr>
          <w:rFonts w:ascii="宋体" w:hAnsi="宋体" w:cs="宋体"/>
          <w:b/>
          <w:sz w:val="36"/>
          <w:szCs w:val="36"/>
        </w:rPr>
      </w:pPr>
      <w:bookmarkStart w:id="7" w:name="_Toc255976267"/>
      <w:bookmarkStart w:id="8" w:name="_Toc321035816"/>
      <w:bookmarkStart w:id="9" w:name="_Toc240870038"/>
      <w:bookmarkStart w:id="10" w:name="_Toc321039808"/>
      <w:bookmarkStart w:id="11" w:name="_Toc256502535"/>
      <w:bookmarkStart w:id="12" w:name="_Toc307298461"/>
      <w:bookmarkStart w:id="13" w:name="_Toc321039334"/>
      <w:bookmarkStart w:id="14" w:name="_Toc245441569"/>
      <w:bookmarkStart w:id="15" w:name="_Toc315963009"/>
      <w:bookmarkStart w:id="16" w:name="_Toc306711419"/>
      <w:bookmarkStart w:id="17" w:name="_Toc241055010"/>
      <w:bookmarkStart w:id="18" w:name="_Toc256004181"/>
      <w:bookmarkStart w:id="19" w:name="_Toc241204411"/>
      <w:bookmarkStart w:id="20" w:name="_Toc255896757"/>
      <w:r>
        <w:rPr>
          <w:rFonts w:hint="eastAsia" w:ascii="宋体" w:hAnsi="宋体" w:cs="宋体"/>
          <w:b/>
          <w:sz w:val="36"/>
          <w:szCs w:val="36"/>
          <w:bdr w:val="single" w:color="auto" w:sz="4" w:space="0"/>
        </w:rPr>
        <w:t>本</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B0E009">
      <w:pPr>
        <w:pStyle w:val="4"/>
        <w:spacing w:before="156" w:after="156" w:line="240" w:lineRule="atLeast"/>
        <w:ind w:firstLine="3080" w:firstLineChars="700"/>
        <w:rPr>
          <w:bCs w:val="0"/>
          <w:sz w:val="44"/>
          <w:szCs w:val="44"/>
        </w:rPr>
      </w:pPr>
      <w:bookmarkStart w:id="21" w:name="_Toc321063831"/>
      <w:bookmarkStart w:id="22" w:name="_Toc508204140"/>
      <w:bookmarkStart w:id="23" w:name="_Toc508279828"/>
      <w:bookmarkStart w:id="24" w:name="_Toc508204212"/>
      <w:r>
        <w:rPr>
          <w:rFonts w:hint="eastAsia"/>
          <w:bCs w:val="0"/>
          <w:sz w:val="44"/>
          <w:szCs w:val="44"/>
        </w:rPr>
        <w:t>响应文件</w:t>
      </w:r>
      <w:bookmarkEnd w:id="21"/>
      <w:bookmarkEnd w:id="22"/>
      <w:bookmarkEnd w:id="23"/>
      <w:bookmarkEnd w:id="24"/>
    </w:p>
    <w:p w14:paraId="38436B9A"/>
    <w:p w14:paraId="7CED5B6C">
      <w:pPr>
        <w:spacing w:before="312" w:beforeLines="100" w:after="312" w:afterLines="100"/>
        <w:ind w:left="3238" w:leftChars="342" w:hanging="2520" w:hangingChars="700"/>
        <w:rPr>
          <w:rFonts w:hint="eastAsia" w:ascii="宋体" w:hAnsi="宋体" w:eastAsia="宋体" w:cs="宋体"/>
          <w:b/>
          <w:bCs/>
          <w:sz w:val="36"/>
          <w:szCs w:val="36"/>
          <w:lang w:eastAsia="zh-CN"/>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成华区中医医院医用耗材、试剂一批集中配送服务</w:t>
      </w:r>
      <w:r>
        <w:rPr>
          <w:rFonts w:hint="eastAsia" w:ascii="宋体" w:hAnsi="宋体" w:cs="宋体"/>
          <w:b/>
          <w:bCs/>
          <w:sz w:val="36"/>
          <w:szCs w:val="36"/>
        </w:rPr>
        <w:t>项目</w:t>
      </w:r>
      <w:r>
        <w:rPr>
          <w:rFonts w:hint="eastAsia" w:ascii="宋体" w:hAnsi="宋体" w:cs="宋体"/>
          <w:b/>
          <w:bCs/>
          <w:sz w:val="36"/>
          <w:szCs w:val="36"/>
          <w:lang w:eastAsia="zh-CN"/>
        </w:rPr>
        <w:t>（</w:t>
      </w:r>
      <w:r>
        <w:rPr>
          <w:rFonts w:hint="eastAsia" w:ascii="宋体" w:hAnsi="宋体" w:cs="宋体"/>
          <w:b/>
          <w:bCs/>
          <w:sz w:val="36"/>
          <w:szCs w:val="36"/>
          <w:lang w:val="en-US" w:eastAsia="zh-CN"/>
        </w:rPr>
        <w:t>第二次</w:t>
      </w:r>
      <w:r>
        <w:rPr>
          <w:rFonts w:hint="eastAsia" w:ascii="宋体" w:hAnsi="宋体" w:cs="宋体"/>
          <w:b/>
          <w:bCs/>
          <w:sz w:val="36"/>
          <w:szCs w:val="36"/>
          <w:lang w:eastAsia="zh-CN"/>
        </w:rPr>
        <w:t>）</w:t>
      </w:r>
    </w:p>
    <w:p w14:paraId="749AD35D">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CG2026-1</w:t>
      </w:r>
    </w:p>
    <w:p w14:paraId="7301C677">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0E130B0">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14:paraId="58820792">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5" w:name="_Toc321063835"/>
      <w:bookmarkStart w:id="26" w:name="_Toc508279829"/>
    </w:p>
    <w:p w14:paraId="67FCE324">
      <w:pPr>
        <w:pStyle w:val="4"/>
        <w:spacing w:before="156" w:after="156"/>
        <w:jc w:val="both"/>
        <w:rPr>
          <w:rFonts w:hint="eastAsia" w:ascii="仿宋" w:hAnsi="仿宋" w:eastAsia="仿宋" w:cs="仿宋"/>
          <w:sz w:val="28"/>
          <w:szCs w:val="28"/>
          <w:lang w:val="en-US" w:eastAsia="zh-CN"/>
        </w:rPr>
      </w:pPr>
    </w:p>
    <w:p w14:paraId="4563071F">
      <w:pPr>
        <w:rPr>
          <w:rFonts w:hint="eastAsia" w:ascii="仿宋" w:hAnsi="仿宋" w:eastAsia="仿宋" w:cs="仿宋"/>
          <w:sz w:val="28"/>
          <w:szCs w:val="28"/>
          <w:lang w:val="en-US" w:eastAsia="zh-CN"/>
        </w:rPr>
      </w:pPr>
    </w:p>
    <w:p w14:paraId="4B9DF14D">
      <w:pPr>
        <w:rPr>
          <w:rFonts w:hint="eastAsia"/>
        </w:rPr>
      </w:pPr>
    </w:p>
    <w:p w14:paraId="33216C99">
      <w:pPr>
        <w:pStyle w:val="4"/>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25"/>
      <w:bookmarkEnd w:id="26"/>
    </w:p>
    <w:p w14:paraId="4017F5C7">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14:paraId="2D65F26D">
      <w:pPr>
        <w:pStyle w:val="10"/>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14:paraId="4D8BE269">
      <w:pPr>
        <w:numPr>
          <w:ilvl w:val="0"/>
          <w:numId w:val="3"/>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14:paraId="31385B60">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14:paraId="08C988E2">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14:paraId="1538D49C">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14:paraId="34867CC8">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有效期为递交响应文件截止之日起90天。</w:t>
      </w:r>
    </w:p>
    <w:p w14:paraId="58DAEE5D">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14:paraId="73DCEE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9BC52E">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062457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0777D16F">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151A09BA">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18B4E84D">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63D90004">
      <w:pPr>
        <w:pStyle w:val="4"/>
        <w:spacing w:beforeLines="0" w:afterLines="0"/>
        <w:rPr>
          <w:rFonts w:hint="eastAsia" w:ascii="仿宋" w:hAnsi="仿宋" w:eastAsia="仿宋" w:cs="仿宋"/>
        </w:rPr>
      </w:pPr>
    </w:p>
    <w:p w14:paraId="5BC9D828">
      <w:pPr>
        <w:spacing w:line="240" w:lineRule="auto"/>
        <w:ind w:left="0" w:firstLine="0" w:firstLineChars="0"/>
        <w:rPr>
          <w:rFonts w:hint="eastAsia" w:ascii="仿宋" w:hAnsi="仿宋" w:eastAsia="仿宋" w:cs="仿宋"/>
        </w:rPr>
      </w:pPr>
    </w:p>
    <w:p w14:paraId="35BC73F5">
      <w:pPr>
        <w:spacing w:line="240" w:lineRule="auto"/>
        <w:ind w:left="0" w:firstLine="0" w:firstLineChars="0"/>
        <w:rPr>
          <w:rFonts w:hint="eastAsia" w:ascii="仿宋" w:hAnsi="仿宋" w:eastAsia="仿宋" w:cs="仿宋"/>
        </w:rPr>
      </w:pPr>
    </w:p>
    <w:p w14:paraId="663E8C3A">
      <w:pPr>
        <w:spacing w:line="240" w:lineRule="auto"/>
        <w:ind w:left="0" w:firstLine="0" w:firstLineChars="0"/>
        <w:rPr>
          <w:rFonts w:hint="eastAsia" w:ascii="仿宋" w:hAnsi="仿宋" w:eastAsia="仿宋" w:cs="仿宋"/>
        </w:rPr>
      </w:pPr>
    </w:p>
    <w:p w14:paraId="7B7EF023">
      <w:pPr>
        <w:spacing w:line="240" w:lineRule="auto"/>
        <w:ind w:left="0" w:firstLine="0" w:firstLineChars="0"/>
        <w:rPr>
          <w:rFonts w:hint="eastAsia" w:ascii="仿宋" w:hAnsi="仿宋" w:eastAsia="仿宋" w:cs="仿宋"/>
        </w:rPr>
      </w:pPr>
    </w:p>
    <w:p w14:paraId="3CC9E9DF">
      <w:pPr>
        <w:pStyle w:val="4"/>
        <w:spacing w:beforeLines="0" w:afterLines="0" w:line="240" w:lineRule="auto"/>
        <w:ind w:left="0" w:firstLine="0" w:firstLineChars="0"/>
        <w:rPr>
          <w:rFonts w:hint="eastAsia" w:ascii="仿宋" w:hAnsi="仿宋" w:eastAsia="仿宋" w:cs="仿宋"/>
        </w:rPr>
      </w:pPr>
    </w:p>
    <w:p w14:paraId="4BA233D9">
      <w:pPr>
        <w:pStyle w:val="4"/>
        <w:spacing w:beforeLines="0" w:afterLines="0" w:line="240" w:lineRule="auto"/>
        <w:ind w:left="0" w:firstLine="0" w:firstLineChars="0"/>
        <w:jc w:val="center"/>
        <w:rPr>
          <w:rFonts w:hint="eastAsia" w:ascii="仿宋" w:hAnsi="仿宋" w:eastAsia="仿宋" w:cs="仿宋"/>
        </w:rPr>
      </w:pPr>
      <w:r>
        <w:rPr>
          <w:rFonts w:hint="eastAsia" w:ascii="仿宋" w:hAnsi="仿宋" w:eastAsia="仿宋" w:cs="仿宋"/>
        </w:rPr>
        <w:t>二、相关证明文件格式</w:t>
      </w:r>
    </w:p>
    <w:p w14:paraId="035FDDC7">
      <w:pPr>
        <w:spacing w:line="240" w:lineRule="auto"/>
        <w:ind w:left="0" w:firstLine="0" w:firstLineChars="0"/>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52D788AD">
      <w:pPr>
        <w:pStyle w:val="9"/>
        <w:spacing w:line="240" w:lineRule="auto"/>
        <w:ind w:left="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196D82BA">
      <w:pPr>
        <w:pStyle w:val="9"/>
        <w:spacing w:line="240" w:lineRule="auto"/>
        <w:ind w:left="0" w:leftChars="0" w:firstLine="0" w:firstLineChars="0"/>
        <w:jc w:val="left"/>
        <w:rPr>
          <w:rFonts w:hint="eastAsia" w:ascii="仿宋" w:hAnsi="仿宋" w:eastAsia="仿宋" w:cs="仿宋"/>
          <w:sz w:val="24"/>
          <w:szCs w:val="24"/>
        </w:rPr>
      </w:pPr>
    </w:p>
    <w:p w14:paraId="3DE7B950">
      <w:pPr>
        <w:pStyle w:val="9"/>
        <w:spacing w:line="240" w:lineRule="auto"/>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3326D95B">
      <w:pPr>
        <w:pStyle w:val="9"/>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09D686CB">
      <w:pPr>
        <w:pStyle w:val="9"/>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CG2026-1</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14:paraId="2EDCB6E6">
      <w:pPr>
        <w:pStyle w:val="9"/>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14:paraId="48764DBE">
      <w:pPr>
        <w:pStyle w:val="9"/>
        <w:spacing w:line="600" w:lineRule="exact"/>
        <w:ind w:left="420" w:firstLine="540" w:firstLineChars="225"/>
        <w:jc w:val="left"/>
        <w:rPr>
          <w:rFonts w:hint="eastAsia" w:ascii="仿宋" w:hAnsi="仿宋" w:eastAsia="仿宋" w:cs="仿宋"/>
          <w:sz w:val="24"/>
          <w:szCs w:val="24"/>
        </w:rPr>
      </w:pPr>
    </w:p>
    <w:p w14:paraId="720782DE">
      <w:pPr>
        <w:pStyle w:val="9"/>
        <w:spacing w:line="600" w:lineRule="exact"/>
        <w:ind w:left="-537" w:leftChars="-256" w:firstLine="616" w:firstLineChars="257"/>
        <w:jc w:val="center"/>
        <w:rPr>
          <w:rFonts w:hint="eastAsia" w:ascii="仿宋" w:hAnsi="仿宋" w:eastAsia="仿宋" w:cs="仿宋"/>
          <w:b/>
          <w:sz w:val="24"/>
          <w:szCs w:val="24"/>
        </w:rPr>
      </w:pPr>
    </w:p>
    <w:p w14:paraId="626E81D2">
      <w:pPr>
        <w:pStyle w:val="9"/>
        <w:spacing w:line="600" w:lineRule="exact"/>
        <w:ind w:left="0" w:leftChars="0" w:firstLine="0" w:firstLineChars="0"/>
        <w:jc w:val="both"/>
        <w:rPr>
          <w:rFonts w:hint="eastAsia" w:ascii="仿宋" w:hAnsi="仿宋" w:eastAsia="仿宋" w:cs="仿宋"/>
          <w:b/>
          <w:sz w:val="24"/>
          <w:szCs w:val="24"/>
        </w:rPr>
      </w:pPr>
    </w:p>
    <w:p w14:paraId="3CF8E982">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6A48C82">
      <w:pPr>
        <w:spacing w:line="360" w:lineRule="auto"/>
        <w:rPr>
          <w:rFonts w:hint="eastAsia" w:ascii="仿宋" w:hAnsi="仿宋" w:eastAsia="仿宋" w:cs="仿宋"/>
          <w:sz w:val="24"/>
        </w:rPr>
      </w:pPr>
    </w:p>
    <w:p w14:paraId="09AF9B40">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6872B704">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43E483">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055E2C43">
      <w:pPr>
        <w:pStyle w:val="6"/>
        <w:spacing w:before="60" w:line="600" w:lineRule="exact"/>
        <w:ind w:firstLine="480"/>
        <w:rPr>
          <w:rFonts w:hint="eastAsia" w:ascii="仿宋" w:hAnsi="仿宋" w:eastAsia="仿宋" w:cs="仿宋"/>
          <w:sz w:val="24"/>
        </w:rPr>
      </w:pPr>
    </w:p>
    <w:p w14:paraId="329079A8">
      <w:pPr>
        <w:jc w:val="center"/>
        <w:rPr>
          <w:rFonts w:hint="eastAsia" w:ascii="仿宋" w:hAnsi="仿宋" w:eastAsia="仿宋" w:cs="仿宋"/>
          <w:b/>
          <w:kern w:val="12"/>
          <w:sz w:val="24"/>
        </w:rPr>
      </w:pPr>
      <w:bookmarkStart w:id="27" w:name="_4.6__"/>
      <w:bookmarkEnd w:id="27"/>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14:paraId="0A8819A6">
      <w:pPr>
        <w:jc w:val="both"/>
        <w:rPr>
          <w:rFonts w:hint="eastAsia" w:ascii="仿宋" w:hAnsi="仿宋" w:eastAsia="仿宋" w:cs="仿宋"/>
          <w:b/>
          <w:sz w:val="32"/>
          <w:szCs w:val="32"/>
        </w:rPr>
      </w:pPr>
    </w:p>
    <w:p w14:paraId="3AFB13E3">
      <w:pPr>
        <w:jc w:val="both"/>
        <w:rPr>
          <w:rFonts w:hint="eastAsia" w:ascii="仿宋" w:hAnsi="仿宋" w:eastAsia="仿宋" w:cs="仿宋"/>
          <w:b/>
          <w:sz w:val="32"/>
          <w:szCs w:val="32"/>
        </w:rPr>
      </w:pPr>
    </w:p>
    <w:p w14:paraId="0A1B492C">
      <w:pPr>
        <w:pStyle w:val="4"/>
        <w:rPr>
          <w:rFonts w:hint="eastAsia"/>
        </w:rPr>
      </w:pPr>
    </w:p>
    <w:p w14:paraId="1691C837">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14:paraId="192111D8">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10A02E2A">
      <w:pPr>
        <w:jc w:val="center"/>
        <w:rPr>
          <w:rFonts w:hint="eastAsia" w:ascii="仿宋" w:hAnsi="仿宋" w:eastAsia="仿宋" w:cs="仿宋"/>
          <w:b/>
          <w:sz w:val="44"/>
        </w:rPr>
      </w:pPr>
    </w:p>
    <w:p w14:paraId="317433DC">
      <w:pPr>
        <w:spacing w:line="400" w:lineRule="exact"/>
        <w:rPr>
          <w:rFonts w:hint="eastAsia" w:ascii="仿宋" w:hAnsi="仿宋" w:eastAsia="仿宋" w:cs="仿宋"/>
          <w:sz w:val="24"/>
        </w:rPr>
      </w:pPr>
      <w:r>
        <w:rPr>
          <w:rFonts w:hint="eastAsia" w:ascii="仿宋" w:hAnsi="仿宋" w:eastAsia="仿宋" w:cs="仿宋"/>
          <w:sz w:val="24"/>
        </w:rPr>
        <w:t>：</w:t>
      </w:r>
    </w:p>
    <w:p w14:paraId="64D7D6D1">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sz w:val="24"/>
        </w:rPr>
        <w:t>（采购编号：</w:t>
      </w:r>
      <w:r>
        <w:rPr>
          <w:rFonts w:hint="eastAsia" w:ascii="仿宋" w:hAnsi="仿宋" w:eastAsia="仿宋" w:cs="仿宋"/>
          <w:sz w:val="24"/>
          <w:szCs w:val="24"/>
          <w:lang w:val="en-US" w:eastAsia="zh-CN"/>
        </w:rPr>
        <w:t>CG2026-1</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14:paraId="7777431B">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41BC2062">
      <w:pPr>
        <w:spacing w:line="400" w:lineRule="exact"/>
        <w:ind w:firstLine="480" w:firstLineChars="200"/>
        <w:rPr>
          <w:rFonts w:hint="eastAsia" w:ascii="仿宋" w:hAnsi="仿宋" w:eastAsia="仿宋" w:cs="仿宋"/>
          <w:sz w:val="24"/>
        </w:rPr>
      </w:pPr>
    </w:p>
    <w:p w14:paraId="788629E6">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2EFF7FB9">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5E32FE">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65BF0113">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48B58019">
      <w:pPr>
        <w:spacing w:line="400" w:lineRule="exact"/>
        <w:rPr>
          <w:rFonts w:hint="eastAsia" w:ascii="仿宋" w:hAnsi="仿宋" w:eastAsia="仿宋" w:cs="仿宋"/>
          <w:sz w:val="24"/>
        </w:rPr>
      </w:pPr>
    </w:p>
    <w:p w14:paraId="2C3154D0">
      <w:pPr>
        <w:spacing w:line="400" w:lineRule="exact"/>
        <w:rPr>
          <w:rFonts w:hint="eastAsia" w:ascii="仿宋" w:hAnsi="仿宋" w:eastAsia="仿宋" w:cs="仿宋"/>
          <w:sz w:val="32"/>
        </w:rPr>
      </w:pPr>
    </w:p>
    <w:p w14:paraId="675837E1">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0F1D58C4">
      <w:pPr>
        <w:spacing w:line="400" w:lineRule="exact"/>
        <w:rPr>
          <w:rFonts w:hint="eastAsia" w:ascii="仿宋" w:hAnsi="仿宋" w:eastAsia="仿宋" w:cs="仿宋"/>
          <w:sz w:val="32"/>
        </w:rPr>
      </w:pPr>
    </w:p>
    <w:p w14:paraId="21DAA37D">
      <w:pPr>
        <w:pStyle w:val="7"/>
        <w:rPr>
          <w:rFonts w:hint="eastAsia" w:ascii="仿宋" w:hAnsi="仿宋" w:eastAsia="仿宋" w:cs="仿宋"/>
          <w:sz w:val="32"/>
        </w:rPr>
      </w:pPr>
    </w:p>
    <w:p w14:paraId="1640B9F7">
      <w:pPr>
        <w:pStyle w:val="7"/>
        <w:rPr>
          <w:rFonts w:hint="eastAsia" w:ascii="仿宋" w:hAnsi="仿宋" w:eastAsia="仿宋" w:cs="仿宋"/>
          <w:sz w:val="32"/>
        </w:rPr>
      </w:pPr>
    </w:p>
    <w:p w14:paraId="39F004F5">
      <w:pPr>
        <w:pStyle w:val="7"/>
        <w:rPr>
          <w:rFonts w:hint="eastAsia" w:ascii="仿宋" w:hAnsi="仿宋" w:eastAsia="仿宋" w:cs="仿宋"/>
          <w:sz w:val="32"/>
        </w:rPr>
      </w:pPr>
    </w:p>
    <w:p w14:paraId="280C55EF">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20C97416">
      <w:pPr>
        <w:spacing w:line="400" w:lineRule="exact"/>
        <w:rPr>
          <w:rFonts w:hint="eastAsia" w:ascii="仿宋" w:hAnsi="仿宋" w:eastAsia="仿宋" w:cs="仿宋"/>
          <w:sz w:val="32"/>
        </w:rPr>
      </w:pPr>
    </w:p>
    <w:p w14:paraId="53A01D80">
      <w:pPr>
        <w:spacing w:line="400" w:lineRule="exact"/>
        <w:rPr>
          <w:rFonts w:hint="eastAsia" w:ascii="仿宋" w:hAnsi="仿宋" w:eastAsia="仿宋" w:cs="仿宋"/>
          <w:sz w:val="32"/>
        </w:rPr>
      </w:pPr>
    </w:p>
    <w:p w14:paraId="4DE324CE">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14:paraId="6C91B603">
      <w:pPr>
        <w:spacing w:line="400" w:lineRule="exact"/>
        <w:rPr>
          <w:rFonts w:hint="eastAsia" w:ascii="仿宋" w:hAnsi="仿宋" w:eastAsia="仿宋" w:cs="仿宋"/>
          <w:sz w:val="32"/>
        </w:rPr>
      </w:pPr>
    </w:p>
    <w:p w14:paraId="7D6D739D">
      <w:pPr>
        <w:spacing w:line="400" w:lineRule="exact"/>
        <w:rPr>
          <w:rFonts w:hint="eastAsia" w:ascii="仿宋" w:hAnsi="仿宋" w:eastAsia="仿宋" w:cs="仿宋"/>
          <w:sz w:val="32"/>
        </w:rPr>
      </w:pPr>
    </w:p>
    <w:p w14:paraId="1E72C149">
      <w:pPr>
        <w:pStyle w:val="4"/>
        <w:rPr>
          <w:rFonts w:hint="eastAsia"/>
        </w:rPr>
      </w:pPr>
    </w:p>
    <w:p w14:paraId="7BDCBC8D">
      <w:pPr>
        <w:rPr>
          <w:rFonts w:hint="eastAsia"/>
        </w:rPr>
      </w:pPr>
    </w:p>
    <w:p w14:paraId="463B940A">
      <w:pPr>
        <w:rPr>
          <w:rFonts w:hint="eastAsia"/>
        </w:rPr>
      </w:pPr>
    </w:p>
    <w:p w14:paraId="443BE3B6">
      <w:pPr>
        <w:numPr>
          <w:ilvl w:val="0"/>
          <w:numId w:val="4"/>
        </w:numPr>
        <w:spacing w:line="400" w:lineRule="exact"/>
        <w:ind w:firstLine="640" w:firstLineChars="200"/>
        <w:jc w:val="center"/>
        <w:rPr>
          <w:rStyle w:val="21"/>
          <w:rFonts w:hint="eastAsia" w:ascii="仿宋" w:hAnsi="仿宋" w:eastAsia="仿宋" w:cs="仿宋"/>
        </w:rPr>
      </w:pPr>
      <w:r>
        <w:rPr>
          <w:rStyle w:val="21"/>
          <w:rFonts w:hint="eastAsia" w:ascii="仿宋" w:hAnsi="仿宋" w:eastAsia="仿宋" w:cs="仿宋"/>
        </w:rPr>
        <w:t>承诺函</w:t>
      </w:r>
    </w:p>
    <w:p w14:paraId="76EF75DF">
      <w:pPr>
        <w:pStyle w:val="7"/>
        <w:numPr>
          <w:ilvl w:val="0"/>
          <w:numId w:val="0"/>
        </w:numPr>
        <w:rPr>
          <w:rFonts w:hint="eastAsia"/>
        </w:rPr>
      </w:pPr>
    </w:p>
    <w:p w14:paraId="005FD483">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14:paraId="2FF9E0C6">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3063B94F">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226DB7E1">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1ECA1419">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0E28ED5">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515D6480">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48274DDB">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70953D6B">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706499BA">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14:paraId="1B9FCA04">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49723B7E">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E7CF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14:paraId="483DB132">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4A29EFC4">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14:paraId="5264423B">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037DA4DA">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14:paraId="6DAD0726"/>
    <w:p w14:paraId="2F47C524">
      <w:pPr>
        <w:pStyle w:val="4"/>
        <w:numPr>
          <w:ilvl w:val="0"/>
          <w:numId w:val="0"/>
        </w:numPr>
        <w:spacing w:beforeLines="0" w:afterLines="0"/>
        <w:rPr>
          <w:rFonts w:hint="eastAsia" w:ascii="仿宋" w:hAnsi="仿宋" w:eastAsia="仿宋" w:cs="仿宋"/>
          <w:sz w:val="28"/>
          <w:szCs w:val="28"/>
        </w:rPr>
      </w:pPr>
    </w:p>
    <w:p w14:paraId="101C4CE6">
      <w:pPr>
        <w:rPr>
          <w:rFonts w:hint="eastAsia" w:ascii="仿宋" w:hAnsi="仿宋" w:eastAsia="仿宋" w:cs="仿宋"/>
          <w:sz w:val="28"/>
          <w:szCs w:val="28"/>
        </w:rPr>
      </w:pPr>
    </w:p>
    <w:p w14:paraId="6F1FA7E9">
      <w:pPr>
        <w:pStyle w:val="4"/>
        <w:rPr>
          <w:rFonts w:hint="eastAsia"/>
        </w:rPr>
      </w:pPr>
    </w:p>
    <w:p w14:paraId="76863FAF">
      <w:pPr>
        <w:pStyle w:val="4"/>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6DF69F78">
      <w:pPr>
        <w:numPr>
          <w:ilvl w:val="0"/>
          <w:numId w:val="0"/>
        </w:numPr>
        <w:ind w:leftChars="200"/>
        <w:rPr>
          <w:rFonts w:hint="eastAsia"/>
        </w:rPr>
      </w:pPr>
    </w:p>
    <w:p w14:paraId="5F8F3750">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14:paraId="46DA901C">
      <w:pPr>
        <w:adjustRightInd w:val="0"/>
        <w:spacing w:line="400" w:lineRule="exact"/>
        <w:ind w:firstLine="630" w:firstLineChars="225"/>
        <w:jc w:val="left"/>
        <w:rPr>
          <w:rFonts w:hint="eastAsia" w:ascii="仿宋" w:hAnsi="仿宋" w:eastAsia="仿宋" w:cs="仿宋"/>
          <w:bCs/>
          <w:sz w:val="28"/>
          <w:szCs w:val="28"/>
        </w:rPr>
      </w:pPr>
    </w:p>
    <w:p w14:paraId="03E59FF9">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sz w:val="24"/>
          <w:szCs w:val="24"/>
        </w:rPr>
        <w:t>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bCs/>
          <w:sz w:val="28"/>
          <w:szCs w:val="28"/>
          <w:u w:val="single"/>
          <w:lang w:val="en-US" w:eastAsia="zh-CN"/>
        </w:rPr>
        <w:t>（采购编号：CG2026-1）</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0B799BB8">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323B3E1F">
      <w:pPr>
        <w:spacing w:line="400" w:lineRule="exact"/>
        <w:ind w:firstLine="560" w:firstLineChars="200"/>
        <w:rPr>
          <w:rFonts w:hint="eastAsia" w:ascii="仿宋" w:hAnsi="仿宋" w:eastAsia="仿宋" w:cs="仿宋"/>
          <w:bCs/>
          <w:sz w:val="28"/>
          <w:szCs w:val="28"/>
        </w:rPr>
      </w:pPr>
    </w:p>
    <w:p w14:paraId="043E9641">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48AAA92F">
      <w:pPr>
        <w:spacing w:line="400" w:lineRule="exact"/>
        <w:ind w:firstLine="560" w:firstLineChars="200"/>
        <w:rPr>
          <w:rFonts w:hint="eastAsia" w:ascii="仿宋" w:hAnsi="仿宋" w:eastAsia="仿宋" w:cs="仿宋"/>
          <w:bCs/>
          <w:sz w:val="28"/>
          <w:szCs w:val="28"/>
        </w:rPr>
      </w:pPr>
    </w:p>
    <w:p w14:paraId="769C7838">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0FEA9B65">
      <w:pPr>
        <w:adjustRightInd w:val="0"/>
        <w:spacing w:line="400" w:lineRule="exact"/>
        <w:jc w:val="left"/>
        <w:rPr>
          <w:rFonts w:hint="eastAsia" w:ascii="仿宋" w:hAnsi="仿宋" w:eastAsia="仿宋" w:cs="仿宋"/>
          <w:bCs/>
          <w:sz w:val="28"/>
          <w:szCs w:val="28"/>
        </w:rPr>
      </w:pPr>
    </w:p>
    <w:p w14:paraId="47FA8BF5">
      <w:pPr>
        <w:adjustRightInd w:val="0"/>
        <w:spacing w:line="400" w:lineRule="exact"/>
        <w:jc w:val="left"/>
        <w:rPr>
          <w:rFonts w:hint="eastAsia" w:ascii="仿宋" w:hAnsi="仿宋" w:eastAsia="仿宋" w:cs="仿宋"/>
          <w:bCs/>
          <w:sz w:val="28"/>
          <w:szCs w:val="28"/>
        </w:rPr>
      </w:pPr>
    </w:p>
    <w:p w14:paraId="333937E0">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07F01B62">
      <w:pPr>
        <w:adjustRightInd w:val="0"/>
        <w:spacing w:line="400" w:lineRule="exact"/>
        <w:jc w:val="left"/>
        <w:rPr>
          <w:rFonts w:hint="eastAsia" w:ascii="仿宋" w:hAnsi="仿宋" w:eastAsia="仿宋" w:cs="仿宋"/>
          <w:bCs/>
          <w:sz w:val="28"/>
          <w:szCs w:val="28"/>
        </w:rPr>
      </w:pPr>
    </w:p>
    <w:p w14:paraId="63F230E3">
      <w:pPr>
        <w:adjustRightInd w:val="0"/>
        <w:spacing w:line="400" w:lineRule="exact"/>
        <w:jc w:val="left"/>
        <w:rPr>
          <w:rFonts w:hint="eastAsia" w:ascii="仿宋" w:hAnsi="仿宋" w:eastAsia="仿宋" w:cs="仿宋"/>
          <w:bCs/>
          <w:sz w:val="28"/>
          <w:szCs w:val="28"/>
        </w:rPr>
      </w:pPr>
    </w:p>
    <w:p w14:paraId="0434B208">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03B81674">
      <w:pPr>
        <w:pStyle w:val="4"/>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14:paraId="2EEC2E4E">
      <w:pPr>
        <w:spacing w:line="400" w:lineRule="exact"/>
        <w:rPr>
          <w:rFonts w:ascii="宋体" w:hAnsi="宋体" w:cs="宋体"/>
          <w:sz w:val="32"/>
        </w:rPr>
      </w:pPr>
    </w:p>
    <w:p w14:paraId="5173F805">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14:paraId="148B4365">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14:paraId="37035F5B">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1.我方全面研究了“成都市成华区中医医院医用耗材、试剂集中配送服务项目（第二次）”比选文件，决定参加贵单位组织的本项目比选采购。</w:t>
      </w:r>
    </w:p>
    <w:p w14:paraId="3BDBE276">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14:paraId="55B7738A">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14:paraId="57B54FF2">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14:paraId="564B5DE8">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14:paraId="2884BA1B">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14:paraId="0BD77A5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14:paraId="04703DC4">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14:paraId="3C1CBE55">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14:paraId="5508CF99">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14:paraId="3BEF93F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14:paraId="44AF5F73">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14:paraId="2245DC37">
      <w:pPr>
        <w:pStyle w:val="4"/>
        <w:numPr>
          <w:ilvl w:val="0"/>
          <w:numId w:val="5"/>
        </w:numPr>
        <w:spacing w:before="156" w:after="156"/>
        <w:jc w:val="center"/>
        <w:rPr>
          <w:rFonts w:hint="eastAsia"/>
        </w:rPr>
      </w:pPr>
      <w:r>
        <w:rPr>
          <w:rFonts w:hint="eastAsia"/>
        </w:rPr>
        <w:t>报价表</w:t>
      </w:r>
    </w:p>
    <w:tbl>
      <w:tblPr>
        <w:tblStyle w:val="16"/>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181"/>
      </w:tblGrid>
      <w:tr w14:paraId="53C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2FF4B916">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项目名称：</w:t>
            </w:r>
          </w:p>
        </w:tc>
        <w:tc>
          <w:tcPr>
            <w:tcW w:w="8181" w:type="dxa"/>
            <w:shd w:val="clear" w:color="auto" w:fill="auto"/>
            <w:vAlign w:val="center"/>
          </w:tcPr>
          <w:p w14:paraId="36048C0F">
            <w:pPr>
              <w:widowControl/>
              <w:spacing w:after="0" w:line="360" w:lineRule="auto"/>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成都市成华区中医医院2026年</w:t>
            </w:r>
            <w:r>
              <w:rPr>
                <w:rFonts w:hint="eastAsia" w:cs="宋体" w:asciiTheme="minorEastAsia" w:hAnsiTheme="minorEastAsia" w:eastAsiaTheme="minorEastAsia"/>
                <w:kern w:val="0"/>
                <w:sz w:val="24"/>
                <w:lang w:eastAsia="zh-CN"/>
              </w:rPr>
              <w:t>医用耗材、试剂一批集中配送服务采购项目（第二次）</w:t>
            </w:r>
          </w:p>
        </w:tc>
      </w:tr>
      <w:tr w14:paraId="0143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48E38FA5">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项目编号</w:t>
            </w:r>
          </w:p>
        </w:tc>
        <w:tc>
          <w:tcPr>
            <w:tcW w:w="8181" w:type="dxa"/>
            <w:shd w:val="clear" w:color="auto" w:fill="auto"/>
            <w:vAlign w:val="center"/>
          </w:tcPr>
          <w:p w14:paraId="72B46146">
            <w:pPr>
              <w:widowControl/>
              <w:spacing w:after="0"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CG2026-1</w:t>
            </w:r>
          </w:p>
        </w:tc>
      </w:tr>
      <w:tr w14:paraId="0193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556" w:type="dxa"/>
            <w:shd w:val="clear" w:color="auto" w:fill="auto"/>
            <w:vAlign w:val="center"/>
          </w:tcPr>
          <w:p w14:paraId="35CD58FE">
            <w:pPr>
              <w:widowControl/>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投标报价</w:t>
            </w:r>
          </w:p>
        </w:tc>
        <w:tc>
          <w:tcPr>
            <w:tcW w:w="8181" w:type="dxa"/>
            <w:shd w:val="clear" w:color="auto" w:fill="auto"/>
            <w:vAlign w:val="center"/>
          </w:tcPr>
          <w:p w14:paraId="75378F4F">
            <w:pPr>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所配送产品按照四川省医疗保障信息大数据一体化平台药品和医用耗材招采管理子系统所有网采价格中最低价格执行，且只保留小数点后两位，不作四舍五入。</w:t>
            </w:r>
          </w:p>
        </w:tc>
      </w:tr>
    </w:tbl>
    <w:p w14:paraId="1B66D17D">
      <w:pPr>
        <w:spacing w:before="156" w:beforeLines="50" w:after="156" w:afterLines="50"/>
        <w:rPr>
          <w:rFonts w:hint="eastAsia" w:ascii="宋体" w:hAnsi="宋体" w:eastAsia="宋体" w:cs="宋体"/>
          <w:bCs/>
          <w:color w:val="auto"/>
          <w:sz w:val="24"/>
          <w:szCs w:val="24"/>
        </w:rPr>
      </w:pPr>
    </w:p>
    <w:p w14:paraId="45E5160E">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w:t>
      </w:r>
      <w:bookmarkStart w:id="28" w:name="_Hlk118119605"/>
      <w:r>
        <w:rPr>
          <w:rFonts w:hint="eastAsia" w:asciiTheme="minorEastAsia" w:hAnsiTheme="minorEastAsia" w:eastAsiaTheme="minorEastAsia"/>
          <w:sz w:val="24"/>
        </w:rPr>
        <w:t>报价应是最终用户验收合格后的总价，包括劳务、材料、培训、差旅、税费、保险费、提供延伸服务等投标人完成本项目所需的一切费用</w:t>
      </w:r>
      <w:bookmarkEnd w:id="28"/>
      <w:r>
        <w:rPr>
          <w:rFonts w:hint="eastAsia" w:asciiTheme="minorEastAsia" w:hAnsiTheme="minorEastAsia" w:eastAsiaTheme="minorEastAsia"/>
          <w:sz w:val="24"/>
        </w:rPr>
        <w:t>；</w:t>
      </w:r>
    </w:p>
    <w:p w14:paraId="1FE67B88">
      <w:pPr>
        <w:spacing w:line="400" w:lineRule="exact"/>
        <w:ind w:firstLine="480" w:firstLineChars="200"/>
        <w:rPr>
          <w:rFonts w:ascii="宋体" w:hAnsi="宋体" w:cs="宋体"/>
          <w:bCs/>
          <w:sz w:val="24"/>
        </w:rPr>
      </w:pPr>
      <w:r>
        <w:rPr>
          <w:rFonts w:hint="eastAsia" w:asciiTheme="minorEastAsia" w:hAnsiTheme="minorEastAsia" w:eastAsiaTheme="minorEastAsia"/>
          <w:sz w:val="24"/>
        </w:rPr>
        <w:t xml:space="preserve">投标人名称：（单位公章）                                         </w:t>
      </w:r>
    </w:p>
    <w:p w14:paraId="356F7498">
      <w:pPr>
        <w:spacing w:line="400" w:lineRule="exact"/>
        <w:ind w:firstLine="480" w:firstLineChars="200"/>
        <w:rPr>
          <w:rFonts w:ascii="宋体" w:hAnsi="宋体" w:cs="宋体"/>
          <w:bCs/>
          <w:sz w:val="24"/>
        </w:rPr>
      </w:pPr>
    </w:p>
    <w:p w14:paraId="1F279FC1">
      <w:pPr>
        <w:spacing w:line="400" w:lineRule="exact"/>
        <w:ind w:firstLine="480" w:firstLineChars="200"/>
        <w:rPr>
          <w:rFonts w:ascii="宋体" w:hAnsi="宋体" w:cs="宋体"/>
          <w:bCs/>
          <w:sz w:val="24"/>
        </w:rPr>
      </w:pPr>
      <w:r>
        <w:rPr>
          <w:rFonts w:hint="eastAsia" w:ascii="宋体" w:hAnsi="宋体" w:cs="宋体"/>
          <w:bCs/>
          <w:sz w:val="24"/>
        </w:rPr>
        <w:t>法定</w:t>
      </w:r>
      <w:r>
        <w:rPr>
          <w:rFonts w:hint="eastAsia" w:asciiTheme="minorEastAsia" w:hAnsiTheme="minorEastAsia" w:eastAsiaTheme="minorEastAsia"/>
          <w:sz w:val="24"/>
        </w:rPr>
        <w:t>代表</w:t>
      </w:r>
      <w:r>
        <w:rPr>
          <w:rFonts w:hint="eastAsia" w:ascii="宋体" w:hAnsi="宋体" w:cs="宋体"/>
          <w:bCs/>
          <w:sz w:val="24"/>
        </w:rPr>
        <w:t>人/单位负责人或代理人（签字或加盖个人名章）：</w:t>
      </w:r>
      <w:r>
        <w:rPr>
          <w:rFonts w:hint="eastAsia" w:ascii="宋体" w:hAnsi="宋体" w:cs="宋体"/>
          <w:bCs/>
          <w:sz w:val="24"/>
          <w:u w:val="single"/>
        </w:rPr>
        <w:t xml:space="preserve">            </w:t>
      </w:r>
    </w:p>
    <w:p w14:paraId="4937BA0C">
      <w:pPr>
        <w:spacing w:line="400" w:lineRule="exact"/>
        <w:ind w:firstLine="480" w:firstLineChars="2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日</w:t>
      </w:r>
    </w:p>
    <w:p w14:paraId="14350A52">
      <w:pPr>
        <w:spacing w:before="156" w:beforeLines="50" w:after="156" w:afterLines="50"/>
        <w:rPr>
          <w:rFonts w:ascii="宋体" w:hAnsi="宋体" w:eastAsia="宋体" w:cs="宋体"/>
          <w:bCs/>
          <w:color w:val="auto"/>
          <w:sz w:val="24"/>
          <w:szCs w:val="24"/>
        </w:rPr>
      </w:pPr>
    </w:p>
    <w:p w14:paraId="7469C06C">
      <w:pPr>
        <w:numPr>
          <w:ilvl w:val="0"/>
          <w:numId w:val="0"/>
        </w:numPr>
        <w:rPr>
          <w:rFonts w:hint="eastAsia"/>
          <w:lang w:eastAsia="zh-CN"/>
        </w:rPr>
      </w:pPr>
    </w:p>
    <w:p w14:paraId="675F3E1D">
      <w:pPr>
        <w:pStyle w:val="4"/>
        <w:spacing w:before="156" w:after="156"/>
        <w:ind w:firstLine="3120" w:firstLineChars="1300"/>
        <w:jc w:val="both"/>
        <w:rPr>
          <w:rFonts w:hint="eastAsia"/>
          <w:b w:val="0"/>
          <w:bCs w:val="0"/>
          <w:sz w:val="24"/>
          <w:szCs w:val="24"/>
          <w:lang w:eastAsia="zh-CN"/>
        </w:rPr>
      </w:pPr>
    </w:p>
    <w:p w14:paraId="111487B6">
      <w:pPr>
        <w:pStyle w:val="5"/>
      </w:pPr>
    </w:p>
    <w:p w14:paraId="6F70DAB8"/>
    <w:p w14:paraId="1CD76D4F"/>
    <w:p w14:paraId="435A605A"/>
    <w:p w14:paraId="1D40EBE5"/>
    <w:p w14:paraId="616A19A4">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项目实施总体方案</w:t>
      </w:r>
    </w:p>
    <w:p w14:paraId="3D3657B6">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配送计划方案</w:t>
      </w:r>
    </w:p>
    <w:p w14:paraId="12078793">
      <w:pPr>
        <w:pStyle w:val="15"/>
        <w:widowControl/>
        <w:numPr>
          <w:ilvl w:val="0"/>
          <w:numId w:val="5"/>
        </w:numPr>
        <w:snapToGrid w:val="0"/>
        <w:spacing w:after="120"/>
        <w:ind w:left="0" w:leftChars="0" w:firstLine="0" w:firstLineChars="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产品质量保障措施</w:t>
      </w:r>
    </w:p>
    <w:p w14:paraId="35624AF9">
      <w:pPr>
        <w:pStyle w:val="15"/>
        <w:widowControl/>
        <w:numPr>
          <w:ilvl w:val="0"/>
          <w:numId w:val="5"/>
        </w:numPr>
        <w:snapToGrid w:val="0"/>
        <w:spacing w:after="120"/>
        <w:ind w:left="0" w:leftChars="0" w:firstLine="0" w:firstLineChars="0"/>
        <w:jc w:val="both"/>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应急处理方案</w:t>
      </w:r>
    </w:p>
    <w:p w14:paraId="00FC7F04">
      <w:pPr>
        <w:pStyle w:val="15"/>
        <w:widowControl/>
        <w:numPr>
          <w:ilvl w:val="0"/>
          <w:numId w:val="5"/>
        </w:numPr>
        <w:snapToGrid w:val="0"/>
        <w:spacing w:after="120"/>
        <w:ind w:left="0" w:leftChars="0" w:firstLine="0" w:firstLineChars="0"/>
        <w:jc w:val="both"/>
        <w:rPr>
          <w:rFonts w:hint="default"/>
          <w:lang w:val="en-US" w:eastAsia="zh-CN"/>
        </w:rPr>
      </w:pPr>
      <w:r>
        <w:rPr>
          <w:rFonts w:hint="eastAsia" w:ascii="宋体" w:hAnsi="宋体" w:eastAsia="宋体" w:cs="宋体"/>
          <w:kern w:val="2"/>
          <w:sz w:val="30"/>
          <w:szCs w:val="30"/>
          <w:lang w:val="en-US" w:eastAsia="zh-CN" w:bidi="ar-SA"/>
        </w:rPr>
        <w:t>供应商经验</w:t>
      </w:r>
    </w:p>
    <w:p w14:paraId="206C657A">
      <w:pPr>
        <w:pStyle w:val="4"/>
        <w:numPr>
          <w:ilvl w:val="0"/>
          <w:numId w:val="0"/>
        </w:numPr>
        <w:spacing w:before="156" w:after="156"/>
        <w:rPr>
          <w:rFonts w:hint="eastAsia"/>
        </w:rPr>
      </w:pPr>
      <w:r>
        <w:rPr>
          <w:rFonts w:hint="eastAsia"/>
          <w:lang w:val="en-US" w:eastAsia="zh-CN"/>
        </w:rPr>
        <w:t>十三、</w:t>
      </w:r>
      <w:r>
        <w:rPr>
          <w:rFonts w:hint="eastAsia"/>
        </w:rPr>
        <w:t>评分细则</w:t>
      </w:r>
    </w:p>
    <w:p w14:paraId="7CD07912">
      <w:pPr>
        <w:rPr>
          <w:rFonts w:hint="eastAsia"/>
        </w:rPr>
      </w:pPr>
    </w:p>
    <w:tbl>
      <w:tblPr>
        <w:tblStyle w:val="16"/>
        <w:tblW w:w="9631" w:type="dxa"/>
        <w:jc w:val="center"/>
        <w:tblLayout w:type="fixed"/>
        <w:tblCellMar>
          <w:top w:w="0" w:type="dxa"/>
          <w:left w:w="108" w:type="dxa"/>
          <w:bottom w:w="0" w:type="dxa"/>
          <w:right w:w="108" w:type="dxa"/>
        </w:tblCellMar>
      </w:tblPr>
      <w:tblGrid>
        <w:gridCol w:w="547"/>
        <w:gridCol w:w="1385"/>
        <w:gridCol w:w="851"/>
        <w:gridCol w:w="6848"/>
      </w:tblGrid>
      <w:tr w14:paraId="3A135FC1">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51F19">
            <w:pPr>
              <w:pStyle w:val="24"/>
              <w:numPr>
                <w:ilvl w:val="0"/>
                <w:numId w:val="6"/>
              </w:numPr>
              <w:autoSpaceDN w:val="0"/>
              <w:spacing w:line="360" w:lineRule="auto"/>
              <w:ind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B8CD98">
            <w:pPr>
              <w:autoSpaceDN w:val="0"/>
              <w:spacing w:line="360" w:lineRule="auto"/>
              <w:ind w:firstLine="28"/>
              <w:jc w:val="center"/>
              <w:rPr>
                <w:rFonts w:asciiTheme="minorEastAsia" w:hAnsiTheme="minorEastAsia" w:eastAsiaTheme="minorEastAsia"/>
                <w:szCs w:val="21"/>
              </w:rPr>
            </w:pPr>
            <w:r>
              <w:rPr>
                <w:rFonts w:hint="eastAsia" w:asciiTheme="minorEastAsia" w:hAnsiTheme="minorEastAsia" w:eastAsiaTheme="minorEastAsia"/>
                <w:szCs w:val="21"/>
              </w:rPr>
              <w:t>履约经验</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6C56B56">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62C974C5">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投标人2</w:t>
            </w:r>
            <w:r>
              <w:rPr>
                <w:rFonts w:asciiTheme="minorEastAsia" w:hAnsiTheme="minorEastAsia" w:eastAsiaTheme="minorEastAsia"/>
                <w:szCs w:val="21"/>
              </w:rPr>
              <w:t>020</w:t>
            </w:r>
            <w:r>
              <w:rPr>
                <w:rFonts w:hint="eastAsia" w:asciiTheme="minorEastAsia" w:hAnsiTheme="minorEastAsia" w:eastAsiaTheme="minorEastAsia"/>
                <w:szCs w:val="21"/>
              </w:rPr>
              <w:t>年1月1日至投标文件递交截止之时，每具有一个类似项目的得3分，此项最多得15分。</w:t>
            </w:r>
          </w:p>
          <w:p w14:paraId="03CFC21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注：①投标人须提供在四川省医疗保障信息大数据一体化平台药品和医用耗材招采管理子系统—订单查询</w:t>
            </w:r>
            <w:r>
              <w:rPr>
                <w:rFonts w:asciiTheme="minorEastAsia" w:hAnsiTheme="minorEastAsia" w:eastAsiaTheme="minorEastAsia"/>
                <w:szCs w:val="21"/>
              </w:rPr>
              <w:t>—</w:t>
            </w:r>
            <w:r>
              <w:rPr>
                <w:rFonts w:hint="eastAsia" w:asciiTheme="minorEastAsia" w:hAnsiTheme="minorEastAsia" w:eastAsiaTheme="minorEastAsia"/>
                <w:szCs w:val="21"/>
              </w:rPr>
              <w:t>历史配送界面中截图数据予以佐证，否则不予认定；</w:t>
            </w:r>
          </w:p>
          <w:p w14:paraId="5C5284F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②类似项目指：在四川省医疗保障信息大数据一体化平台药品和医用耗材招采管理子系统上的耗材配送业绩，同一家医疗机构不重复计算。</w:t>
            </w:r>
          </w:p>
        </w:tc>
      </w:tr>
      <w:tr w14:paraId="192E408A">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61C8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5A7AFF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综合配送能力</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6D5B82">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30120F1C">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为保障招标人后续可能出现的不可预计的业务科室增加或采购产品变化或新产品的出现等情形，投标人具备全面的配送能力予以满足招标人的使用需求：</w:t>
            </w:r>
          </w:p>
          <w:p w14:paraId="35FD7A8E">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①投标人可配送医用试剂或耗材品规数量＞</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个的，得10分；</w:t>
            </w:r>
          </w:p>
          <w:p w14:paraId="6DEDF2D3">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个＜投标人可配送医用试剂或耗材品规数量≤</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个的，得</w:t>
            </w:r>
            <w:r>
              <w:rPr>
                <w:rFonts w:asciiTheme="minorEastAsia" w:hAnsiTheme="minorEastAsia" w:eastAsiaTheme="minorEastAsia"/>
                <w:szCs w:val="21"/>
              </w:rPr>
              <w:t>7</w:t>
            </w:r>
            <w:r>
              <w:rPr>
                <w:rFonts w:hint="eastAsia" w:asciiTheme="minorEastAsia" w:hAnsiTheme="minorEastAsia" w:eastAsiaTheme="minorEastAsia"/>
                <w:szCs w:val="21"/>
              </w:rPr>
              <w:t>分；</w:t>
            </w:r>
          </w:p>
          <w:p w14:paraId="4A3C31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③</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个＜投标人可配送医用试剂或耗材品规数量≤</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个的，得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6618317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④投标人可配送医用试剂或耗材品规数量＜</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个的，不得分。</w:t>
            </w:r>
          </w:p>
          <w:p w14:paraId="1B51582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投标人可配送医用试剂或耗材品规数量指的是投标人在四川省医疗保障信息大数据一体化平台药品和医用耗材招采管理子系统中取得试剂或耗材配送权（不限于招标人单位）的品规数量，以投标人在四川省医疗保障信息大数据一体化平台药品和医用耗材招采管理子系统</w:t>
            </w:r>
            <w:r>
              <w:rPr>
                <w:rFonts w:asciiTheme="minorEastAsia" w:hAnsiTheme="minorEastAsia" w:eastAsiaTheme="minorEastAsia"/>
                <w:szCs w:val="21"/>
              </w:rPr>
              <w:t>--</w:t>
            </w:r>
            <w:r>
              <w:rPr>
                <w:rFonts w:hint="eastAsia" w:asciiTheme="minorEastAsia" w:hAnsiTheme="minorEastAsia" w:eastAsiaTheme="minorEastAsia"/>
                <w:szCs w:val="21"/>
              </w:rPr>
              <w:t>价格联动专区-</w:t>
            </w:r>
            <w:r>
              <w:rPr>
                <w:rFonts w:asciiTheme="minorEastAsia" w:hAnsiTheme="minorEastAsia" w:eastAsiaTheme="minorEastAsia"/>
                <w:szCs w:val="21"/>
              </w:rPr>
              <w:t>-</w:t>
            </w:r>
            <w:r>
              <w:rPr>
                <w:rFonts w:hint="eastAsia" w:asciiTheme="minorEastAsia" w:hAnsiTheme="minorEastAsia" w:eastAsiaTheme="minorEastAsia"/>
                <w:szCs w:val="21"/>
              </w:rPr>
              <w:t>配送关系确认界面中截图数据为准。</w:t>
            </w:r>
          </w:p>
        </w:tc>
      </w:tr>
      <w:tr w14:paraId="4B12183B">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7A69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0F4F3A">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3AEFDE">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536912D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1、投标人为本项目配置清晰的组织架构，予以完成招标人的日常配送服务工作：</w:t>
            </w:r>
            <w:r>
              <w:rPr>
                <w:rFonts w:hint="eastAsia" w:ascii="Cambria Math" w:hAnsi="Cambria Math" w:cs="Cambria Math" w:eastAsiaTheme="minorEastAsia"/>
                <w:szCs w:val="21"/>
              </w:rPr>
              <w:t>①</w:t>
            </w:r>
            <w:r>
              <w:rPr>
                <w:rFonts w:hint="eastAsia" w:asciiTheme="minorEastAsia" w:hAnsiTheme="minorEastAsia" w:eastAsiaTheme="minorEastAsia"/>
                <w:szCs w:val="21"/>
              </w:rPr>
              <w:t>须配置项目总负责人1名，配送工作管理人员≥2名，以上人员须在投标文件提供人员清单（至少包含：人员姓名、身份证号、联系电话）；②以上人员之间不得兼任多个职位，按照采购人要求可安排以上1人进行驻场服务，并且以上不得擅自更换，如因特殊情况需要更换的须5个工作日内向招标人书面提出申请，经招标人同意后方可更换，提供承诺函，格式自拟。满足以上要求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1D6DF7B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注：提供提供符合以上要求的人员清单以及承诺函，否则不予认定。</w:t>
            </w:r>
          </w:p>
          <w:p w14:paraId="2529AAE9">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2、投标人完成配送服务具有可靠的配送机具保障，具有厢式配送货车的得</w:t>
            </w:r>
            <w:r>
              <w:rPr>
                <w:rFonts w:asciiTheme="minorEastAsia" w:hAnsiTheme="minorEastAsia" w:eastAsiaTheme="minorEastAsia"/>
                <w:szCs w:val="21"/>
              </w:rPr>
              <w:t>3</w:t>
            </w:r>
            <w:r>
              <w:rPr>
                <w:rFonts w:hint="eastAsia" w:asciiTheme="minorEastAsia" w:hAnsiTheme="minorEastAsia" w:eastAsiaTheme="minorEastAsia"/>
                <w:szCs w:val="21"/>
              </w:rPr>
              <w:t>分，具有冷链运输车辆的得</w:t>
            </w:r>
            <w:r>
              <w:rPr>
                <w:rFonts w:asciiTheme="minorEastAsia" w:hAnsiTheme="minorEastAsia" w:eastAsiaTheme="minorEastAsia"/>
                <w:szCs w:val="21"/>
              </w:rPr>
              <w:t>3</w:t>
            </w:r>
            <w:r>
              <w:rPr>
                <w:rFonts w:hint="eastAsia" w:asciiTheme="minorEastAsia" w:hAnsiTheme="minorEastAsia" w:eastAsiaTheme="minorEastAsia"/>
                <w:szCs w:val="21"/>
              </w:rPr>
              <w:t>分，本项最多得6分。</w:t>
            </w:r>
          </w:p>
          <w:p w14:paraId="7EE86FA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车辆照片、车辆拍照号信息、自有车辆的提供车辆购置发票或租赁车辆提供租赁合同，并且承诺以上不得擅自更换，如因特殊情况需要更换的须5个工作日内向招标人书面提出申请，经招标人同意后方可更换，承诺函格式自拟。不满足以此项要求的不予认定。</w:t>
            </w:r>
          </w:p>
        </w:tc>
      </w:tr>
      <w:tr w14:paraId="1FAA6B14">
        <w:tblPrEx>
          <w:tblCellMar>
            <w:top w:w="0" w:type="dxa"/>
            <w:left w:w="108" w:type="dxa"/>
            <w:bottom w:w="0" w:type="dxa"/>
            <w:right w:w="108" w:type="dxa"/>
          </w:tblCellMar>
        </w:tblPrEx>
        <w:trPr>
          <w:trHeight w:val="416"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906C9">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77B16BD">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13BD42">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1F73583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试剂耗材配送服务方案，内容要素至少包含：①配送产品质量控制措施，②运输、配送、仓储等各环节内控制度，③配送机具配置计划，④配送服务人员配置计划，⑤紧急配送保障措施；以上内容要素齐全的25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2E15E0A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r w14:paraId="676E5E2C">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7B2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815B6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应急保障方案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3BF90C8">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20CCCE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投标人制定针对本项目的应急保障方案，内容要素至少包含：</w:t>
            </w:r>
            <w:r>
              <w:rPr>
                <w:rFonts w:asciiTheme="minorEastAsia" w:hAnsiTheme="minorEastAsia" w:eastAsiaTheme="minorEastAsia"/>
                <w:szCs w:val="21"/>
              </w:rPr>
              <w:t>①</w:t>
            </w:r>
            <w:r>
              <w:rPr>
                <w:rFonts w:hint="eastAsia" w:asciiTheme="minorEastAsia" w:hAnsiTheme="minorEastAsia" w:eastAsiaTheme="minorEastAsia"/>
                <w:szCs w:val="21"/>
              </w:rPr>
              <w:t>耗材管理突发情况处置，</w:t>
            </w:r>
            <w:r>
              <w:rPr>
                <w:rFonts w:asciiTheme="minorEastAsia" w:hAnsiTheme="minorEastAsia" w:eastAsiaTheme="minorEastAsia"/>
                <w:szCs w:val="21"/>
              </w:rPr>
              <w:t>②</w:t>
            </w:r>
            <w:r>
              <w:rPr>
                <w:rFonts w:hint="eastAsia" w:asciiTheme="minorEastAsia" w:hAnsiTheme="minorEastAsia" w:eastAsiaTheme="minorEastAsia"/>
                <w:szCs w:val="21"/>
              </w:rPr>
              <w:t>耗材质量引起的医疗纠纷处置，</w:t>
            </w:r>
            <w:r>
              <w:rPr>
                <w:rFonts w:asciiTheme="minorEastAsia" w:hAnsiTheme="minorEastAsia" w:eastAsiaTheme="minorEastAsia"/>
                <w:szCs w:val="21"/>
              </w:rPr>
              <w:t>③</w:t>
            </w:r>
            <w:r>
              <w:rPr>
                <w:rFonts w:hint="eastAsia" w:asciiTheme="minorEastAsia" w:hAnsiTheme="minorEastAsia" w:eastAsiaTheme="minorEastAsia"/>
                <w:szCs w:val="21"/>
              </w:rPr>
              <w:t>服务过程纠纷处置，</w:t>
            </w:r>
            <w:r>
              <w:rPr>
                <w:rFonts w:asciiTheme="minorEastAsia" w:hAnsiTheme="minorEastAsia" w:eastAsiaTheme="minorEastAsia"/>
                <w:szCs w:val="21"/>
              </w:rPr>
              <w:t>④</w:t>
            </w:r>
            <w:r>
              <w:rPr>
                <w:rFonts w:hint="eastAsia" w:asciiTheme="minorEastAsia" w:hAnsiTheme="minorEastAsia" w:eastAsiaTheme="minorEastAsia"/>
                <w:szCs w:val="21"/>
              </w:rPr>
              <w:t>各类突发事件分析及处置解决预案；以上内容要素齐全的的20分，每有一项内容要素缺失或遗漏或仅有标题大纲无正文内容的扣5分，每项内容要素每存在一处缺陷不足的扣</w:t>
            </w:r>
            <w:r>
              <w:rPr>
                <w:rFonts w:asciiTheme="minorEastAsia" w:hAnsiTheme="minorEastAsia" w:eastAsiaTheme="minorEastAsia"/>
                <w:szCs w:val="21"/>
              </w:rPr>
              <w:t>2.5</w:t>
            </w:r>
            <w:r>
              <w:rPr>
                <w:rFonts w:hint="eastAsia" w:asciiTheme="minorEastAsia" w:hAnsiTheme="minorEastAsia" w:eastAsiaTheme="minorEastAsia"/>
                <w:szCs w:val="21"/>
              </w:rPr>
              <w:t>分，单项内容要素最多扣减5分。</w:t>
            </w:r>
          </w:p>
          <w:p w14:paraId="414F80BF">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注：缺陷不足是指：方案存在前后逻辑矛盾，语序错乱，内容前后不一致，套用其他项目方案，内容中服务对象错误，方案内容简单，方可行性差，方案与本项目实际工作不相符。</w:t>
            </w:r>
          </w:p>
        </w:tc>
      </w:tr>
      <w:tr w14:paraId="6BE59619">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37D68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8CF1B">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其他服务质量保障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4E023C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4DAC3172">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其他服务保障，内容要素至少包含：①服务质量控制措施，②针对招标人的工作人员试剂耗材使用指引培训计划及培训周期，③服务过程台账建立可随时溯源，④售后产品的质量问题处置、产品更换；以上内容要素齐全的的20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40BFE6D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bl>
    <w:p w14:paraId="2A9D95DC">
      <w:pPr>
        <w:pStyle w:val="4"/>
        <w:rPr>
          <w:rFonts w:hint="eastAsia"/>
        </w:rPr>
      </w:pPr>
    </w:p>
    <w:p w14:paraId="34BF6000">
      <w:pPr>
        <w:rPr>
          <w:rFonts w:hint="default"/>
          <w:lang w:val="en-US" w:eastAsia="zh-CN"/>
        </w:rPr>
      </w:pPr>
    </w:p>
    <w:p w14:paraId="4F43D29B">
      <w:pPr>
        <w:tabs>
          <w:tab w:val="left" w:pos="2340"/>
          <w:tab w:val="left" w:pos="6840"/>
        </w:tabs>
        <w:spacing w:line="500" w:lineRule="exact"/>
        <w:jc w:val="center"/>
        <w:rPr>
          <w:rFonts w:hint="eastAsia" w:ascii="方正小标宋简体" w:eastAsia="方正小标宋简体"/>
          <w:sz w:val="36"/>
          <w:szCs w:val="36"/>
        </w:rPr>
      </w:pPr>
    </w:p>
    <w:p w14:paraId="270B4815">
      <w:pPr>
        <w:pStyle w:val="5"/>
        <w:rPr>
          <w:rFonts w:hint="eastAsia"/>
        </w:rPr>
      </w:pPr>
    </w:p>
    <w:p w14:paraId="284A4B14"/>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B158">
    <w:pPr>
      <w:pStyle w:val="12"/>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9DFB">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1">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EA81A9AF"/>
    <w:multiLevelType w:val="singleLevel"/>
    <w:tmpl w:val="EA81A9AF"/>
    <w:lvl w:ilvl="0" w:tentative="0">
      <w:start w:val="1"/>
      <w:numFmt w:val="decimal"/>
      <w:suff w:val="nothing"/>
      <w:lvlText w:val="%1、"/>
      <w:lvlJc w:val="left"/>
    </w:lvl>
  </w:abstractNum>
  <w:abstractNum w:abstractNumId="4">
    <w:nsid w:val="1119E8D5"/>
    <w:multiLevelType w:val="singleLevel"/>
    <w:tmpl w:val="1119E8D5"/>
    <w:lvl w:ilvl="0" w:tentative="0">
      <w:start w:val="7"/>
      <w:numFmt w:val="chineseCounting"/>
      <w:suff w:val="nothing"/>
      <w:lvlText w:val="%1、"/>
      <w:lvlJc w:val="left"/>
      <w:rPr>
        <w:rFonts w:hint="eastAsia"/>
      </w:rPr>
    </w:lvl>
  </w:abstractNum>
  <w:abstractNum w:abstractNumId="5">
    <w:nsid w:val="76241CD5"/>
    <w:multiLevelType w:val="multilevel"/>
    <w:tmpl w:val="76241C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7305EE0"/>
    <w:rsid w:val="07A8244D"/>
    <w:rsid w:val="0AED744A"/>
    <w:rsid w:val="0EBA5CB8"/>
    <w:rsid w:val="14E530ED"/>
    <w:rsid w:val="1B640F71"/>
    <w:rsid w:val="1C826630"/>
    <w:rsid w:val="23BF76BE"/>
    <w:rsid w:val="272A498F"/>
    <w:rsid w:val="27965C1E"/>
    <w:rsid w:val="285223EF"/>
    <w:rsid w:val="2A481CFC"/>
    <w:rsid w:val="2ED33B5E"/>
    <w:rsid w:val="2FD64611"/>
    <w:rsid w:val="33ED4427"/>
    <w:rsid w:val="37232B55"/>
    <w:rsid w:val="3ECC583E"/>
    <w:rsid w:val="3F4D5267"/>
    <w:rsid w:val="3FB157F6"/>
    <w:rsid w:val="40325A0F"/>
    <w:rsid w:val="437D6E11"/>
    <w:rsid w:val="47B503DA"/>
    <w:rsid w:val="496438D9"/>
    <w:rsid w:val="52723C2F"/>
    <w:rsid w:val="56244B1C"/>
    <w:rsid w:val="57E52089"/>
    <w:rsid w:val="590D7AE9"/>
    <w:rsid w:val="5A2C5F3B"/>
    <w:rsid w:val="5D164204"/>
    <w:rsid w:val="62F94160"/>
    <w:rsid w:val="636C18B0"/>
    <w:rsid w:val="7A6C06BC"/>
    <w:rsid w:val="7B1B3E90"/>
    <w:rsid w:val="7C8B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0"/>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8"/>
    <w:qFormat/>
    <w:uiPriority w:val="0"/>
    <w:pPr>
      <w:spacing w:after="120"/>
    </w:pPr>
    <w:rPr>
      <w:rFonts w:ascii="Calibri" w:hAnsi="Calibri"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71"/>
    <w:basedOn w:val="18"/>
    <w:qFormat/>
    <w:uiPriority w:val="0"/>
    <w:rPr>
      <w:rFonts w:hint="eastAsia" w:ascii="宋体" w:hAnsi="宋体" w:eastAsia="宋体" w:cs="宋体"/>
      <w:color w:val="000000"/>
      <w:sz w:val="22"/>
      <w:szCs w:val="22"/>
      <w:u w:val="none"/>
      <w:vertAlign w:val="superscript"/>
    </w:rPr>
  </w:style>
  <w:style w:type="character" w:customStyle="1" w:styleId="20">
    <w:name w:val="标题 1 Char"/>
    <w:basedOn w:val="18"/>
    <w:link w:val="2"/>
    <w:qFormat/>
    <w:uiPriority w:val="0"/>
    <w:rPr>
      <w:rFonts w:ascii="宋体" w:hAnsi="宋体" w:cs="宋体"/>
      <w:kern w:val="44"/>
      <w:sz w:val="32"/>
    </w:rPr>
  </w:style>
  <w:style w:type="character" w:customStyle="1" w:styleId="21">
    <w:name w:val="标题 2 Char"/>
    <w:basedOn w:val="18"/>
    <w:qFormat/>
    <w:uiPriority w:val="0"/>
    <w:rPr>
      <w:rFonts w:ascii="Cambria" w:hAnsi="Cambria" w:eastAsia="宋体" w:cs="Times New Roman"/>
      <w:b/>
      <w:bCs/>
      <w:sz w:val="32"/>
      <w:szCs w:val="32"/>
    </w:rPr>
  </w:style>
  <w:style w:type="paragraph" w:customStyle="1" w:styleId="22">
    <w:name w:val="正文首行缩进两字符"/>
    <w:basedOn w:val="1"/>
    <w:qFormat/>
    <w:uiPriority w:val="0"/>
    <w:pPr>
      <w:spacing w:line="360" w:lineRule="auto"/>
      <w:ind w:firstLine="200" w:firstLineChars="200"/>
    </w:pPr>
  </w:style>
  <w:style w:type="table" w:customStyle="1" w:styleId="23">
    <w:name w:val="网格型2"/>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qFormat/>
    <w:uiPriority w:val="34"/>
    <w:pPr>
      <w:widowControl/>
      <w:spacing w:after="0" w:line="240" w:lineRule="auto"/>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6147</Words>
  <Characters>6324</Characters>
  <Lines>0</Lines>
  <Paragraphs>0</Paragraphs>
  <TotalTime>15</TotalTime>
  <ScaleCrop>false</ScaleCrop>
  <LinksUpToDate>false</LinksUpToDate>
  <CharactersWithSpaces>6406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醒着做梦</cp:lastModifiedBy>
  <cp:lastPrinted>2023-11-15T07:20:00Z</cp:lastPrinted>
  <dcterms:modified xsi:type="dcterms:W3CDTF">2026-02-26T02:10:02Z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089BD7678B194E118491525A1407AC39_13</vt:lpwstr>
  </property>
  <property fmtid="{D5CDD505-2E9C-101B-9397-08002B2CF9AE}" pid="4" name="KSOTemplateDocerSaveRecord">
    <vt:lpwstr>eyJoZGlkIjoiMmJkZjI4Mjg1YmY3OTVjNzE5NDhlNGYzNDk0ZDNlZWEiLCJ1c2VySWQiOiI3MDc4MTMzODgifQ==</vt:lpwstr>
  </property>
</Properties>
</file>