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采购需求</w:t>
      </w:r>
      <w:bookmarkStart w:id="9" w:name="_GoBack"/>
      <w:bookmarkEnd w:id="9"/>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1.根据确定代维区域范围内的消防设施设备，包括以下系统: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1.1火灾自动报警系统(含报警主机、CRT、报警设备、模块、声光及其线路等);</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1.2消火栓系统(含消火栓泵、室内外消火栓(箱)、水泵接合器及其室内管网等);</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1.3自动喷淋系统(含喷淋水泵、报警阀/阀门、安全信号阀、水流指示器、水泵接合器及其室内管网等);</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1.4防排烟系统(含风机、风阀及其控制线路);</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1.5火警电话及火警广播(含主机、电话分机、扬声器及其线路) ;</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1.6防火分隔系统(防火门、防火卷帘门及其控制装置);</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1.7应急照明及疏散指示系统;</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1.8手提式干粉灭火器。</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2.服务方式</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2.1维保类型为技术保障，需派专业维保技术人员对院内自动消防系统，日常保养每月1次。</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2.2提供全天候(含节假日)应急维修及故障处理。</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rPr>
        <w:t>2.3维保单位在接到报修后，应在30分钟内到达故障现场进行检查。一般故障应立即排除，重大故障应在24小时内修复。当需超过2天尚无法修复故障时，需书面通知院方并增加日常管理人员与院</w:t>
      </w:r>
      <w:r>
        <w:rPr>
          <w:rFonts w:hint="eastAsia" w:ascii="方正仿宋简体" w:hAnsi="方正仿宋简体" w:eastAsia="方正仿宋简体" w:cs="方正仿宋简体"/>
          <w:sz w:val="28"/>
          <w:szCs w:val="28"/>
          <w:lang w:val="en-US" w:eastAsia="zh-CN" w:bidi="ar-SA"/>
        </w:rPr>
        <w:t>方工作人员一同作好维修期间的安全防范，同时增加技术力量，尽快修复故障。</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3、服务要求</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3.1每半月进行1次一级维护巡查，月检的内容及标准内容如下:</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3.1.1消防控制室:设备无异常，自检系统良好，消音、复位正常，显示灯正常。</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lang w:val="en-US" w:eastAsia="zh-CN"/>
        </w:rPr>
      </w:pPr>
      <w:r>
        <w:rPr>
          <w:rFonts w:hint="eastAsia" w:ascii="方正仿宋简体" w:hAnsi="方正仿宋简体" w:eastAsia="方正仿宋简体" w:cs="方正仿宋简体"/>
          <w:sz w:val="28"/>
          <w:szCs w:val="28"/>
          <w:lang w:val="en-US" w:eastAsia="zh-CN" w:bidi="ar-SA"/>
        </w:rPr>
        <w:t>3.1.2 自动报警及联动控制系统:处于待机状态、无故障、无异常误报，对每个防火区的10%探测器进行吹烟试验，并联动相应的联动设备(声光报警等)。常误报，对每个防火区的10%探测器进行吹烟试验，并联动相应的联动设备(声光报警等)。</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3.1.3泵房消防设备:温度、压力、位置、响声处于正常范围，除锈并打油。</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3.1.4泡沫喷淋系统及消火栓系统:无冒、滴、漏现象。手/自动启泵各一次。</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3.2每季度进行一次维护保养，对联动设备进行一次二级保养，季检内容及标准如下:</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3.2.1消防控制室:设备无异常，自检系统良好，消音、复位正常，显示灯正常。</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3.2.2 自动报警及联动控制系统:处于待机状态、无故障、无异常误报，对每个防火区的30%探测器进行吹烟试验，并联动相应的联动设备(声光报警等)。</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3.2.3泵房消防设备:温度、压力、位置、响声处于正常范围，除锈并打油。</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3.2.4泡沫喷淋系统及消火栓系统:无冒、滴、漏现象。手/自动启泵各一次。</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3.2.5消防通讯系统:无故障。</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3.3每年最后一月对维护设备进行一次全面的检查，并对联动设备进行三级保养。检查内容及标准如下:</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3.3.1消防控制室:设备无异常，自检系统良好，消音、复位正常，显示灯正常。</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3.3.2 自动报警及联动控制系统:处于待机状态、无故障、无异常误报，全面测试及联动实验，并联动相应的联动设备(声光报警、非消防电源切换一次等)。</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3.3.3泵房消防设备:温度、压力、位置、响声处于正常范围，除锈并打油。</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3.3.4泡沫喷淋系统及消火栓系统:无泡、冒、滴、漏现象。手/自动启泵各一次。</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3.3.5消防通讯，系统，无故障。</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3.4主控设备测试内容</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3.4.1火灾报警主机及区域控制机按现行国家标准《火灾报警控制器通用技术条件》的有关要求对报警控制器进行下列功能检查:</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a、火灾报警自检功能;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b、消音、复位功能;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c、故障报警功能;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d、火灾优先功能;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e、报警记忆功能;</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f、电源自动转换和备用电源的自动充电功能;</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g、备用电源的欠压和过压报警功能。</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3.4.2 各型探测设备:</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将各总线回路逐一接上控制器，对每个回路上的探测器用探测试验器和感温探测试验器进行喷烟和加温，观查探测器是否报警。地址编码是否正确。对报警按钮应逐个按下，观察指示灯是否亮，编号是否正确。</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3.4.3联动控制柜:</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把转换开关接通手动位置，进行以下单机调试:</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a、逐个按下所有消防报警钮，观察消防控制室的监屏上是否显示，按钮是否正确;按下控制屏上手动按钮能否起停消防泵，能否收到动作信号。</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b、逐个打开喷淋末端试水装置，消防控制室监视屏上能否显示水流指示器的动作信号，湿式报警阀的动作信号以及信号蝶阀的状态.信号模块编码是否正确;按下联动屏上的启动按钮观察能否启动消防泵，是否有动作号返回。</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c、用消防手提式电话插入消防电话插孔，逐个查核控制室的通话情况。</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3.4.4消防联动测试:</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投入主电源，消防所有设备置于自动状态，利用模拟信号(如对探头吹烟，按报警按钮等)以整个系统进行测试，按消火栓报警按钮，消火栓是否启动，并显示动作信号，喷淋末端试水装置放水，水流指示器，湿式报警阀是否动作，是否启动喷淋泵，有无各种动作信号显示。通过显示系统能否显示各种控测器、报警按钮、消火栓、水喷淋等种种固定式灭火系统的具体及编号码，并通过打印检查其结果，与竣工图比较进行修改。</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3.5作业人员要求：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3.5.1作业人员需具备相关作业资质，人员配置需符合国家相关规定的要求和本项目现场工作要求，熟悉并掌握安全规程和规范，每年组织一次考试，不合格者不得从事相关作业。</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3.5.2维保单位技术人员应保持稳定。若需进行人员调整，在调整前必须向院方主管部门提交书面申请，经同意后再进行调整。</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3.5.3维保单位应对其现场施工人员进行有效管理，严格遵守院方的管理制度和现场作业要求，院方要求撤换不能胜任本职工作、行为不端或玩忽职守的现场施工人员时，维保单位应予以撤换，维保单位应对实施本项目相关人员的人身伤亡事故和维护工具及设施损坏负责。</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3.5.4维保单位应对配备的专业技术人员进行培训与安全教育,使其熟知安全管理体系，并严格遵守。</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3.5.5维保单位应对专业技术人员配置日常工作工器具及劳动保护用品。采购人有权拒绝无日常工作工器具及劳动保护用品的技术人员进入现场工作。</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3.6单价金额在500元以下的零配件包含在维保费用中，单价金额500以上的零配件，据实结算。</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3.5.3维保单位应对其现场施工人员进行有效管理，严格遵守院方的管理制度和现场作业要求，院方要求撤换不能胜任本职工作、行为不端或玩忽职守的现场施工人员时，维保单位应予以撤换，维保单位应对实施本项目相关人员的人身伤亡事故和维护工具及设施损坏负责。</w:t>
      </w:r>
    </w:p>
    <w:p>
      <w:pPr>
        <w:pStyle w:val="2"/>
        <w:keepNext w:val="0"/>
        <w:keepLines w:val="0"/>
        <w:pageBreakBefore w:val="0"/>
        <w:kinsoku/>
        <w:wordWrap/>
        <w:overflowPunct/>
        <w:topLinePunct w:val="0"/>
        <w:autoSpaceDE/>
        <w:autoSpaceDN/>
        <w:bidi w:val="0"/>
        <w:spacing w:line="440" w:lineRule="exact"/>
        <w:ind w:firstLine="560" w:firstLineChars="200"/>
        <w:textAlignment w:val="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3.5.4维保单位应对配备的专业技术人员进行培训与安全教育,使其熟知安全管理体系，并严格遵守。</w:t>
      </w:r>
    </w:p>
    <w:p>
      <w:pPr>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3.5.5维保单位应对专业技术人员配置日常工作工器具及劳动保护用品。采购人有权拒绝无日常工作工器具及劳动保护用品的技术。</w:t>
      </w:r>
    </w:p>
    <w:p>
      <w:pPr>
        <w:rPr>
          <w:rFonts w:hint="eastAsia"/>
          <w:sz w:val="22"/>
          <w:szCs w:val="36"/>
          <w:lang w:eastAsia="zh-CN"/>
        </w:rPr>
      </w:pPr>
      <w:r>
        <w:rPr>
          <w:rFonts w:hint="eastAsia" w:ascii="仿宋" w:hAnsi="仿宋" w:eastAsia="仿宋" w:cs="仿宋"/>
          <w:b/>
          <w:bCs/>
          <w:color w:val="000000"/>
          <w:kern w:val="0"/>
          <w:sz w:val="32"/>
          <w:szCs w:val="28"/>
          <w:lang w:val="en-US" w:eastAsia="zh-CN"/>
        </w:rPr>
        <w:t>附件：1.</w:t>
      </w:r>
      <w:r>
        <w:rPr>
          <w:rFonts w:hint="eastAsia" w:ascii="仿宋" w:hAnsi="仿宋" w:eastAsia="仿宋"/>
          <w:b/>
          <w:bCs/>
          <w:i w:val="0"/>
          <w:iCs w:val="0"/>
          <w:color w:val="auto"/>
          <w:sz w:val="32"/>
          <w:szCs w:val="32"/>
          <w:lang w:val="en-US" w:eastAsia="zh-CN"/>
        </w:rPr>
        <w:t>文件要求应答表</w:t>
      </w:r>
    </w:p>
    <w:tbl>
      <w:tblPr>
        <w:tblStyle w:val="5"/>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96"/>
        <w:gridCol w:w="279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49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文件</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要求</w:t>
            </w:r>
          </w:p>
        </w:tc>
        <w:tc>
          <w:tcPr>
            <w:tcW w:w="279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响应文件应答内容</w:t>
            </w:r>
          </w:p>
        </w:tc>
        <w:tc>
          <w:tcPr>
            <w:tcW w:w="2913" w:type="dxa"/>
            <w:vAlign w:val="center"/>
          </w:tcPr>
          <w:p>
            <w:pP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是否响应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bookmarkEnd w:id="0"/>
      <w:bookmarkEnd w:id="1"/>
      <w:bookmarkStart w:id="2" w:name="_Hlk525910141"/>
    </w:p>
    <w:p>
      <w:pPr>
        <w:rPr>
          <w:rFonts w:hint="eastAsia"/>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lang w:eastAsia="zh-CN"/>
        </w:rPr>
      </w:pPr>
      <w:r>
        <w:rPr>
          <w:rFonts w:hint="eastAsia" w:ascii="仿宋" w:hAnsi="仿宋" w:eastAsia="仿宋" w:cs="仿宋"/>
          <w:color w:val="000000"/>
          <w:kern w:val="0"/>
          <w:sz w:val="24"/>
          <w:szCs w:val="24"/>
        </w:rPr>
        <w:t>日  期：</w:t>
      </w:r>
      <w:bookmarkEnd w:id="2"/>
    </w:p>
    <w:p>
      <w:pPr>
        <w:pStyle w:val="4"/>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2.报价明细表</w:t>
      </w:r>
    </w:p>
    <w:tbl>
      <w:tblPr>
        <w:tblStyle w:val="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678"/>
        <w:gridCol w:w="837"/>
        <w:gridCol w:w="1392"/>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3678"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内容</w:t>
            </w:r>
          </w:p>
        </w:tc>
        <w:tc>
          <w:tcPr>
            <w:tcW w:w="837"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数量</w:t>
            </w:r>
          </w:p>
        </w:tc>
        <w:tc>
          <w:tcPr>
            <w:tcW w:w="1392"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合价（元）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rPr>
      </w:pPr>
      <w:bookmarkStart w:id="3" w:name="_Toc525661710"/>
      <w:bookmarkStart w:id="4"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rPr>
          <w:rFonts w:hint="eastAsia" w:ascii="仿宋" w:hAnsi="仿宋" w:eastAsia="仿宋" w:cs="仿宋"/>
          <w:color w:val="000000"/>
          <w:kern w:val="0"/>
          <w:sz w:val="28"/>
          <w:szCs w:val="24"/>
        </w:rPr>
      </w:pPr>
      <w:bookmarkStart w:id="5" w:name="_Toc525661711"/>
      <w:bookmarkStart w:id="6" w:name="_Toc52474563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bookmarkStart w:id="7" w:name="_Toc524745632"/>
      <w:bookmarkStart w:id="8" w:name="_Toc52566171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pStyle w:val="7"/>
        <w:rPr>
          <w:rFonts w:hint="eastAsia"/>
          <w:lang w:eastAsia="zh-CN"/>
        </w:rPr>
      </w:pPr>
    </w:p>
    <w:p>
      <w:pPr>
        <w:pStyle w:val="7"/>
        <w:rPr>
          <w:rFonts w:hint="eastAsia"/>
          <w:lang w:eastAsia="zh-CN"/>
        </w:rPr>
      </w:pPr>
    </w:p>
    <w:p>
      <w:pPr>
        <w:jc w:val="both"/>
        <w:rPr>
          <w:rFonts w:ascii="仿宋" w:hAnsi="仿宋" w:eastAsia="仿宋" w:cs="Arial"/>
          <w:b/>
          <w:bCs/>
          <w:sz w:val="32"/>
          <w:szCs w:val="32"/>
        </w:rPr>
      </w:pPr>
      <w:r>
        <w:rPr>
          <w:rFonts w:hint="eastAsia" w:ascii="仿宋" w:hAnsi="仿宋" w:eastAsia="仿宋" w:cs="Arial"/>
          <w:b/>
          <w:bCs/>
          <w:sz w:val="32"/>
          <w:szCs w:val="32"/>
          <w:lang w:val="en-US" w:eastAsia="zh-CN"/>
        </w:rPr>
        <w:t>3.</w:t>
      </w:r>
      <w:r>
        <w:rPr>
          <w:rFonts w:hint="eastAsia" w:ascii="仿宋" w:hAnsi="仿宋" w:eastAsia="仿宋" w:cs="Arial"/>
          <w:b/>
          <w:bCs/>
          <w:sz w:val="32"/>
          <w:szCs w:val="32"/>
        </w:rPr>
        <w:t>供应商类似项目业绩一览表</w:t>
      </w:r>
    </w:p>
    <w:p>
      <w:pPr>
        <w:spacing w:line="400" w:lineRule="exact"/>
        <w:rPr>
          <w:rFonts w:ascii="仿宋" w:hAnsi="仿宋" w:eastAsia="仿宋" w:cs="Arial"/>
          <w:sz w:val="24"/>
        </w:rPr>
      </w:pP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10"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pPr>
              <w:spacing w:line="400" w:lineRule="exact"/>
              <w:jc w:val="center"/>
              <w:rPr>
                <w:rFonts w:ascii="仿宋" w:hAnsi="仿宋" w:eastAsia="仿宋" w:cs="Arial"/>
                <w:b/>
              </w:rPr>
            </w:pPr>
            <w:r>
              <w:rPr>
                <w:rFonts w:ascii="仿宋" w:hAnsi="仿宋" w:eastAsia="仿宋" w:cs="Arial"/>
                <w:b/>
              </w:rPr>
              <w:t>完成时间</w:t>
            </w:r>
          </w:p>
        </w:tc>
        <w:tc>
          <w:tcPr>
            <w:tcW w:w="1421" w:type="dxa"/>
            <w:vAlign w:val="center"/>
          </w:tcPr>
          <w:p>
            <w:pPr>
              <w:spacing w:line="400" w:lineRule="exact"/>
              <w:ind w:firstLine="110" w:firstLineChars="50"/>
              <w:jc w:val="center"/>
              <w:rPr>
                <w:rFonts w:ascii="仿宋" w:hAnsi="仿宋" w:eastAsia="仿宋" w:cs="Arial"/>
                <w:b/>
              </w:rPr>
            </w:pPr>
            <w:r>
              <w:rPr>
                <w:rFonts w:ascii="仿宋" w:hAnsi="仿宋" w:eastAsia="仿宋" w:cs="Arial"/>
                <w:b/>
              </w:rPr>
              <w:t>合同金额</w:t>
            </w:r>
          </w:p>
        </w:tc>
        <w:tc>
          <w:tcPr>
            <w:tcW w:w="1614" w:type="dxa"/>
            <w:tcBorders>
              <w:righ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tcBorders>
              <w:lef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387"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387" w:type="dxa"/>
            <w:tcBorders>
              <w:left w:val="single" w:color="auto" w:sz="4" w:space="0"/>
            </w:tcBorders>
            <w:vAlign w:val="center"/>
          </w:tcPr>
          <w:p>
            <w:pPr>
              <w:spacing w:line="400" w:lineRule="exact"/>
              <w:jc w:val="center"/>
              <w:rPr>
                <w:rFonts w:ascii="仿宋" w:hAnsi="仿宋" w:eastAsia="仿宋" w:cs="Arial"/>
              </w:rPr>
            </w:pPr>
          </w:p>
        </w:tc>
      </w:tr>
    </w:tbl>
    <w:p>
      <w:pPr>
        <w:spacing w:line="360" w:lineRule="atLeast"/>
        <w:ind w:firstLine="470" w:firstLineChars="196"/>
        <w:outlineLvl w:val="1"/>
        <w:rPr>
          <w:rFonts w:ascii="仿宋" w:hAnsi="仿宋" w:eastAsia="仿宋" w:cs="Arial"/>
          <w:sz w:val="24"/>
        </w:rPr>
      </w:pPr>
    </w:p>
    <w:p>
      <w:pPr>
        <w:spacing w:line="360" w:lineRule="atLeast"/>
        <w:ind w:firstLine="470" w:firstLineChars="196"/>
        <w:outlineLvl w:val="1"/>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w:t>
      </w:r>
      <w:r>
        <w:rPr>
          <w:rFonts w:hint="eastAsia" w:ascii="仿宋" w:hAnsi="仿宋" w:eastAsia="仿宋"/>
          <w:sz w:val="24"/>
          <w:lang w:val="en-US" w:eastAsia="zh-CN"/>
        </w:rPr>
        <w:t>采购</w:t>
      </w:r>
      <w:r>
        <w:rPr>
          <w:rFonts w:hint="eastAsia" w:ascii="仿宋" w:hAnsi="仿宋" w:eastAsia="仿宋"/>
          <w:sz w:val="24"/>
        </w:rPr>
        <w:t>文件要求的有关书面证明材料。</w:t>
      </w:r>
    </w:p>
    <w:p>
      <w:pPr>
        <w:rPr>
          <w:rFonts w:ascii="仿宋" w:hAnsi="仿宋" w:eastAsia="仿宋" w:cs="Arial"/>
        </w:rPr>
      </w:pPr>
    </w:p>
    <w:p>
      <w:pPr>
        <w:ind w:firstLine="480" w:firstLineChars="200"/>
        <w:rPr>
          <w:rFonts w:ascii="仿宋" w:hAnsi="仿宋" w:eastAsia="仿宋"/>
          <w:sz w:val="24"/>
        </w:rPr>
      </w:pPr>
      <w:r>
        <w:rPr>
          <w:rFonts w:hint="eastAsia" w:ascii="仿宋" w:hAnsi="仿宋" w:eastAsia="仿宋"/>
          <w:sz w:val="24"/>
        </w:rPr>
        <w:t>供应商名称：XXXX（盖单位公章）</w:t>
      </w:r>
    </w:p>
    <w:p>
      <w:pPr>
        <w:ind w:firstLine="480" w:firstLineChars="200"/>
        <w:rPr>
          <w:rFonts w:ascii="仿宋" w:hAnsi="仿宋" w:eastAsia="仿宋"/>
          <w:sz w:val="24"/>
        </w:rPr>
      </w:pPr>
      <w:r>
        <w:rPr>
          <w:rFonts w:hint="eastAsia" w:ascii="仿宋" w:hAnsi="仿宋" w:eastAsia="仿宋"/>
          <w:sz w:val="24"/>
        </w:rPr>
        <w:t>法定代表人/单位负责人或授权代表（签字或加盖个人印章）：XXXX</w:t>
      </w:r>
    </w:p>
    <w:p>
      <w:pPr>
        <w:ind w:firstLine="480" w:firstLineChars="200"/>
        <w:rPr>
          <w:rFonts w:ascii="仿宋" w:hAnsi="仿宋" w:eastAsia="仿宋"/>
          <w:sz w:val="24"/>
        </w:rPr>
      </w:pPr>
      <w:r>
        <w:rPr>
          <w:rFonts w:hint="eastAsia" w:ascii="仿宋" w:hAnsi="仿宋" w:eastAsia="仿宋"/>
          <w:sz w:val="24"/>
        </w:rPr>
        <w:t>日期: XXXX</w:t>
      </w:r>
    </w:p>
    <w:p>
      <w:pPr>
        <w:rPr>
          <w:rFonts w:ascii="仿宋" w:hAnsi="仿宋" w:eastAsia="仿宋"/>
          <w:sz w:val="24"/>
        </w:rPr>
      </w:pPr>
    </w:p>
    <w:p>
      <w:pPr>
        <w:rPr>
          <w:rFonts w:hint="eastAsia" w:ascii="仿宋" w:hAnsi="仿宋" w:eastAsia="仿宋"/>
          <w:b/>
          <w:sz w:val="28"/>
          <w:szCs w:val="28"/>
        </w:rPr>
      </w:pPr>
      <w:r>
        <w:rPr>
          <w:rFonts w:hint="eastAsia" w:ascii="仿宋" w:hAnsi="仿宋" w:eastAsia="仿宋"/>
          <w:b/>
          <w:sz w:val="28"/>
          <w:szCs w:val="28"/>
        </w:rPr>
        <w:t>注：如本项目不涉及可不提供此表</w:t>
      </w:r>
    </w:p>
    <w:p>
      <w:pPr>
        <w:pStyle w:val="7"/>
        <w:numPr>
          <w:ilvl w:val="0"/>
          <w:numId w:val="1"/>
        </w:numPr>
        <w:rPr>
          <w:rFonts w:hint="eastAsia" w:ascii="仿宋" w:hAnsi="仿宋" w:eastAsia="仿宋"/>
          <w:b/>
          <w:sz w:val="32"/>
          <w:szCs w:val="32"/>
          <w:lang w:val="en-US" w:eastAsia="zh-CN"/>
        </w:rPr>
      </w:pPr>
      <w:r>
        <w:rPr>
          <w:rFonts w:hint="eastAsia" w:ascii="仿宋" w:hAnsi="仿宋" w:eastAsia="仿宋"/>
          <w:b/>
          <w:sz w:val="32"/>
          <w:szCs w:val="32"/>
          <w:lang w:val="en-US" w:eastAsia="zh-CN"/>
        </w:rPr>
        <w:t>承诺函模板</w:t>
      </w:r>
    </w:p>
    <w:p>
      <w:pPr>
        <w:pStyle w:val="3"/>
        <w:rPr>
          <w:rFonts w:ascii="华文中宋" w:hAnsi="华文中宋" w:eastAsia="华文中宋" w:cs="宋体"/>
          <w:bCs w:val="0"/>
          <w:color w:val="auto"/>
        </w:rPr>
      </w:pPr>
      <w:r>
        <w:rPr>
          <w:rFonts w:ascii="华文中宋" w:hAnsi="华文中宋" w:eastAsia="华文中宋" w:cs="宋体"/>
          <w:bCs w:val="0"/>
          <w:color w:val="auto"/>
        </w:rPr>
        <w:t>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6、申请人还符合法律、行政法规规定的其他强制性条件；</w:t>
      </w:r>
    </w:p>
    <w:p>
      <w:pPr>
        <w:spacing w:before="80" w:after="80" w:line="360" w:lineRule="auto"/>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7"/>
        <w:numPr>
          <w:ilvl w:val="0"/>
          <w:numId w:val="0"/>
        </w:numPr>
        <w:rPr>
          <w:rFonts w:hint="default" w:ascii="仿宋" w:hAnsi="仿宋" w:eastAsia="仿宋"/>
          <w:b/>
          <w:sz w:val="28"/>
          <w:szCs w:val="28"/>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389C8"/>
    <w:multiLevelType w:val="singleLevel"/>
    <w:tmpl w:val="EBA389C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1C24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customStyle="1" w:styleId="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2023-07-25T03:02:46Z</dcterms:created>
  <dc:creator>Administrator</dc:creator>
  <cp:lastModifiedBy>v</cp:lastModifiedBy>
  <dcterms:modified xsi:type="dcterms:W3CDTF">2023-07-25T03:18:42Z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6CDD4D919BD94F788773608B2BAF3B77_12</vt:lpwstr>
  </property>
</Properties>
</file>