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pStyle w:val="2"/>
      </w:pPr>
    </w:p>
    <w:p>
      <w:pPr>
        <w:spacing w:line="360" w:lineRule="auto"/>
        <w:jc w:val="center"/>
        <w:rPr>
          <w:rFonts w:hint="default" w:ascii="华文中宋" w:hAnsi="华文中宋" w:eastAsia="华文中宋" w:cs="Times New Roman"/>
          <w:b/>
          <w:color w:val="auto"/>
          <w:sz w:val="32"/>
          <w:lang w:val="en-US" w:eastAsia="zh-CN"/>
        </w:rPr>
      </w:pPr>
      <w:r>
        <w:rPr>
          <w:rFonts w:ascii="华文中宋" w:hAnsi="华文中宋" w:eastAsia="华文中宋" w:cs="宋体"/>
          <w:b/>
          <w:color w:val="auto"/>
          <w:sz w:val="32"/>
        </w:rPr>
        <w:t>项目编号：</w:t>
      </w:r>
      <w:r>
        <w:rPr>
          <w:rFonts w:hint="eastAsia" w:ascii="华文中宋" w:hAnsi="华文中宋" w:eastAsia="华文中宋" w:cs="宋体"/>
          <w:b/>
          <w:color w:val="auto"/>
          <w:sz w:val="32"/>
          <w:lang w:val="en-US" w:eastAsia="zh-CN"/>
        </w:rPr>
        <w:t>CG</w:t>
      </w:r>
      <w:r>
        <w:rPr>
          <w:rFonts w:hint="eastAsia" w:ascii="华文中宋" w:hAnsi="华文中宋" w:eastAsia="华文中宋" w:cs="宋体"/>
          <w:b/>
          <w:color w:val="auto"/>
          <w:sz w:val="32"/>
        </w:rPr>
        <w:t>-</w:t>
      </w:r>
      <w:r>
        <w:rPr>
          <w:rFonts w:ascii="华文中宋" w:hAnsi="华文中宋" w:eastAsia="华文中宋" w:cs="宋体"/>
          <w:b/>
          <w:color w:val="auto"/>
          <w:sz w:val="32"/>
        </w:rPr>
        <w:t>202</w:t>
      </w:r>
      <w:r>
        <w:rPr>
          <w:rFonts w:hint="eastAsia" w:ascii="华文中宋" w:hAnsi="华文中宋" w:eastAsia="华文中宋" w:cs="宋体"/>
          <w:b/>
          <w:color w:val="auto"/>
          <w:sz w:val="32"/>
          <w:lang w:val="en-US" w:eastAsia="zh-CN"/>
        </w:rPr>
        <w:t>3</w:t>
      </w:r>
      <w:r>
        <w:rPr>
          <w:rFonts w:hint="eastAsia" w:ascii="华文中宋" w:hAnsi="华文中宋" w:eastAsia="华文中宋" w:cs="宋体"/>
          <w:b/>
          <w:color w:val="auto"/>
          <w:sz w:val="32"/>
        </w:rPr>
        <w:t>-</w:t>
      </w:r>
      <w:r>
        <w:rPr>
          <w:rFonts w:hint="eastAsia" w:ascii="华文中宋" w:hAnsi="华文中宋" w:eastAsia="华文中宋" w:cs="宋体"/>
          <w:b/>
          <w:color w:val="auto"/>
          <w:sz w:val="32"/>
          <w:lang w:val="en-US" w:eastAsia="zh-CN"/>
        </w:rPr>
        <w:t>010</w:t>
      </w:r>
    </w:p>
    <w:p>
      <w:pPr>
        <w:spacing w:line="360" w:lineRule="auto"/>
        <w:jc w:val="center"/>
        <w:rPr>
          <w:rFonts w:ascii="华文中宋" w:hAnsi="华文中宋" w:eastAsia="华文中宋" w:cs="宋体"/>
          <w:b/>
          <w:color w:val="auto"/>
          <w:sz w:val="48"/>
          <w:szCs w:val="48"/>
        </w:rPr>
      </w:pPr>
      <w:bookmarkStart w:id="0" w:name="_Hlk63613221"/>
    </w:p>
    <w:p>
      <w:pPr>
        <w:spacing w:line="360" w:lineRule="auto"/>
        <w:jc w:val="center"/>
        <w:rPr>
          <w:rFonts w:ascii="华文中宋" w:hAnsi="华文中宋" w:eastAsia="华文中宋" w:cs="宋体"/>
          <w:b/>
          <w:color w:val="auto"/>
          <w:spacing w:val="40"/>
          <w:sz w:val="72"/>
          <w:szCs w:val="48"/>
        </w:rPr>
      </w:pPr>
      <w:r>
        <w:rPr>
          <w:rFonts w:hint="eastAsia" w:ascii="宋体" w:hAnsi="宋体" w:eastAsia="宋体" w:cs="宋体"/>
          <w:color w:val="auto"/>
          <w:sz w:val="52"/>
          <w:szCs w:val="48"/>
          <w:lang w:val="en-US" w:eastAsia="zh-CN"/>
        </w:rPr>
        <w:t>中药配方颗粒</w:t>
      </w:r>
      <w:r>
        <w:rPr>
          <w:rFonts w:hint="eastAsia" w:ascii="宋体" w:hAnsi="宋体" w:eastAsia="宋体" w:cs="宋体"/>
          <w:b/>
          <w:color w:val="auto"/>
          <w:sz w:val="52"/>
          <w:szCs w:val="48"/>
          <w:u w:val="single"/>
          <w:lang w:val="en-US" w:eastAsia="zh-CN"/>
        </w:rPr>
        <w:t>集中配送服务商</w:t>
      </w:r>
      <w:r>
        <w:rPr>
          <w:rFonts w:hint="eastAsia" w:ascii="宋体" w:hAnsi="宋体" w:eastAsia="宋体" w:cs="宋体"/>
          <w:b/>
          <w:color w:val="auto"/>
          <w:sz w:val="52"/>
          <w:szCs w:val="48"/>
          <w:u w:val="single"/>
        </w:rPr>
        <w:t>采购项目</w:t>
      </w:r>
      <w:bookmarkEnd w:id="0"/>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pPr>
        <w:spacing w:line="360" w:lineRule="auto"/>
        <w:jc w:val="center"/>
        <w:rPr>
          <w:rFonts w:ascii="华文中宋" w:hAnsi="华文中宋" w:eastAsia="华文中宋" w:cs="宋体"/>
          <w:b/>
          <w:color w:val="auto"/>
          <w:sz w:val="32"/>
        </w:rPr>
      </w:pPr>
    </w:p>
    <w:p>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lang w:val="en-US" w:eastAsia="zh-CN"/>
        </w:rPr>
        <w:t>2023</w:t>
      </w:r>
      <w:r>
        <w:rPr>
          <w:rFonts w:ascii="华文中宋" w:hAnsi="华文中宋" w:eastAsia="华文中宋" w:cs="宋体"/>
          <w:b/>
          <w:color w:val="auto"/>
          <w:sz w:val="32"/>
        </w:rPr>
        <w:t>年</w:t>
      </w:r>
      <w:r>
        <w:rPr>
          <w:rFonts w:hint="eastAsia" w:ascii="华文中宋" w:hAnsi="华文中宋" w:eastAsia="华文中宋" w:cs="宋体"/>
          <w:b/>
          <w:color w:val="auto"/>
          <w:sz w:val="32"/>
          <w:lang w:val="en-US" w:eastAsia="zh-CN"/>
        </w:rPr>
        <w:t>3</w:t>
      </w:r>
      <w:r>
        <w:rPr>
          <w:rFonts w:ascii="华文中宋" w:hAnsi="华文中宋" w:eastAsia="华文中宋" w:cs="宋体"/>
          <w:b/>
          <w:color w:val="auto"/>
          <w:sz w:val="32"/>
        </w:rPr>
        <w:t>月</w:t>
      </w:r>
    </w:p>
    <w:p>
      <w:pPr>
        <w:widowControl/>
        <w:jc w:val="left"/>
        <w:rPr>
          <w:rFonts w:ascii="华文中宋" w:hAnsi="华文中宋" w:eastAsia="华文中宋" w:cs="宋体"/>
          <w:b/>
          <w:color w:val="auto"/>
          <w:sz w:val="32"/>
        </w:rPr>
      </w:pPr>
      <w:r>
        <w:rPr>
          <w:rFonts w:ascii="华文中宋" w:hAnsi="华文中宋" w:eastAsia="华文中宋" w:cs="宋体"/>
          <w:b/>
          <w:color w:val="auto"/>
          <w:sz w:val="32"/>
        </w:rPr>
        <w:br w:type="page"/>
      </w:r>
    </w:p>
    <w:p>
      <w:pPr>
        <w:spacing w:line="360" w:lineRule="auto"/>
        <w:jc w:val="center"/>
        <w:rPr>
          <w:rFonts w:ascii="华文中宋" w:hAnsi="华文中宋" w:eastAsia="华文中宋" w:cs="宋体"/>
          <w:b/>
          <w:color w:val="auto"/>
          <w:sz w:val="44"/>
        </w:rPr>
      </w:pPr>
    </w:p>
    <w:p>
      <w:pPr>
        <w:spacing w:line="360" w:lineRule="auto"/>
        <w:jc w:val="center"/>
        <w:rPr>
          <w:rFonts w:ascii="华文中宋" w:hAnsi="华文中宋" w:eastAsia="华文中宋" w:cs="Times New Roman"/>
          <w:b/>
          <w:color w:val="auto"/>
          <w:sz w:val="44"/>
        </w:rPr>
      </w:pPr>
      <w:r>
        <w:rPr>
          <w:rFonts w:ascii="华文中宋" w:hAnsi="华文中宋" w:eastAsia="华文中宋" w:cs="宋体"/>
          <w:b/>
          <w:color w:val="auto"/>
          <w:sz w:val="44"/>
        </w:rPr>
        <w:t>目</w:t>
      </w:r>
      <w:r>
        <w:rPr>
          <w:rFonts w:hint="eastAsia" w:ascii="华文中宋" w:hAnsi="华文中宋" w:eastAsia="华文中宋" w:cs="宋体"/>
          <w:b/>
          <w:color w:val="auto"/>
          <w:sz w:val="44"/>
        </w:rPr>
        <w:t xml:space="preserve"> </w:t>
      </w:r>
      <w:r>
        <w:rPr>
          <w:rFonts w:ascii="华文中宋" w:hAnsi="华文中宋" w:eastAsia="华文中宋" w:cs="宋体"/>
          <w:b/>
          <w:color w:val="auto"/>
          <w:sz w:val="44"/>
        </w:rPr>
        <w:t xml:space="preserve"> 录</w:t>
      </w:r>
    </w:p>
    <w:p>
      <w:pPr>
        <w:spacing w:line="360" w:lineRule="auto"/>
        <w:jc w:val="center"/>
        <w:rPr>
          <w:rFonts w:ascii="Times New Roman" w:hAnsi="Times New Roman" w:eastAsia="Times New Roman" w:cs="Times New Roman"/>
          <w:b/>
          <w:color w:val="auto"/>
          <w:sz w:val="44"/>
        </w:rPr>
      </w:pPr>
    </w:p>
    <w:p>
      <w:pPr>
        <w:pStyle w:val="18"/>
        <w:tabs>
          <w:tab w:val="right" w:leader="dot" w:pos="9736"/>
        </w:tabs>
        <w:spacing w:line="600" w:lineRule="auto"/>
        <w:rPr>
          <w:b/>
          <w:bCs/>
          <w:color w:val="auto"/>
          <w:sz w:val="28"/>
          <w:szCs w:val="32"/>
        </w:rPr>
      </w:pPr>
      <w:r>
        <w:rPr>
          <w:rFonts w:ascii="Times New Roman" w:hAnsi="Times New Roman" w:cs="Times New Roman"/>
          <w:b/>
          <w:bCs/>
          <w:color w:val="auto"/>
          <w:sz w:val="24"/>
        </w:rPr>
        <w:fldChar w:fldCharType="begin"/>
      </w:r>
      <w:r>
        <w:rPr>
          <w:rFonts w:ascii="Times New Roman" w:hAnsi="Times New Roman" w:cs="Times New Roman"/>
          <w:b/>
          <w:bCs/>
          <w:color w:val="auto"/>
          <w:sz w:val="24"/>
        </w:rPr>
        <w:instrText xml:space="preserve"> TOC \o "1-1" \h \z \u </w:instrText>
      </w:r>
      <w:r>
        <w:rPr>
          <w:rFonts w:ascii="Times New Roman" w:hAnsi="Times New Roman" w:cs="Times New Roman"/>
          <w:b/>
          <w:bCs/>
          <w:color w:val="auto"/>
          <w:sz w:val="24"/>
        </w:rPr>
        <w:fldChar w:fldCharType="separate"/>
      </w:r>
      <w:r>
        <w:rPr>
          <w:color w:val="auto"/>
        </w:rPr>
        <w:fldChar w:fldCharType="begin"/>
      </w:r>
      <w:r>
        <w:rPr>
          <w:color w:val="auto"/>
        </w:rPr>
        <w:instrText xml:space="preserve"> HYPERLINK \l "_Toc68619132" </w:instrText>
      </w:r>
      <w:r>
        <w:rPr>
          <w:color w:val="auto"/>
        </w:rPr>
        <w:fldChar w:fldCharType="separate"/>
      </w:r>
      <w:r>
        <w:rPr>
          <w:rStyle w:val="24"/>
          <w:rFonts w:ascii="华文中宋" w:hAnsi="华文中宋" w:eastAsia="华文中宋" w:cs="宋体"/>
          <w:b/>
          <w:bCs/>
          <w:color w:val="auto"/>
          <w:sz w:val="28"/>
          <w:szCs w:val="32"/>
        </w:rPr>
        <w:t>第一章  比选邀请</w:t>
      </w:r>
      <w:r>
        <w:rPr>
          <w:b/>
          <w:bCs/>
          <w:color w:val="auto"/>
          <w:sz w:val="28"/>
          <w:szCs w:val="32"/>
        </w:rPr>
        <w:tab/>
      </w:r>
      <w:r>
        <w:rPr>
          <w:b/>
          <w:bCs/>
          <w:color w:val="auto"/>
          <w:sz w:val="28"/>
          <w:szCs w:val="32"/>
        </w:rPr>
        <w:fldChar w:fldCharType="begin"/>
      </w:r>
      <w:r>
        <w:rPr>
          <w:b/>
          <w:bCs/>
          <w:color w:val="auto"/>
          <w:sz w:val="28"/>
          <w:szCs w:val="32"/>
        </w:rPr>
        <w:instrText xml:space="preserve"> PAGEREF _Toc68619132 \h </w:instrText>
      </w:r>
      <w:r>
        <w:rPr>
          <w:b/>
          <w:bCs/>
          <w:color w:val="auto"/>
          <w:sz w:val="28"/>
          <w:szCs w:val="32"/>
        </w:rPr>
        <w:fldChar w:fldCharType="separate"/>
      </w:r>
      <w:r>
        <w:rPr>
          <w:b/>
          <w:bCs/>
          <w:color w:val="auto"/>
          <w:sz w:val="28"/>
          <w:szCs w:val="32"/>
        </w:rPr>
        <w:t>1</w:t>
      </w:r>
      <w:r>
        <w:rPr>
          <w:b/>
          <w:bCs/>
          <w:color w:val="auto"/>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"_Toc68619133" </w:instrText>
      </w:r>
      <w:r>
        <w:rPr>
          <w:color w:val="auto"/>
        </w:rPr>
        <w:fldChar w:fldCharType="separate"/>
      </w:r>
      <w:r>
        <w:rPr>
          <w:rStyle w:val="24"/>
          <w:rFonts w:ascii="华文中宋" w:hAnsi="华文中宋" w:eastAsia="华文中宋" w:cs="宋体"/>
          <w:b/>
          <w:bCs/>
          <w:color w:val="auto"/>
          <w:sz w:val="28"/>
          <w:szCs w:val="32"/>
        </w:rPr>
        <w:t>第二章  比选申请书</w:t>
      </w:r>
      <w:r>
        <w:rPr>
          <w:b/>
          <w:bCs/>
          <w:color w:val="auto"/>
          <w:sz w:val="28"/>
          <w:szCs w:val="32"/>
        </w:rPr>
        <w:tab/>
      </w:r>
      <w:r>
        <w:rPr>
          <w:b/>
          <w:bCs/>
          <w:color w:val="auto"/>
          <w:sz w:val="28"/>
          <w:szCs w:val="32"/>
        </w:rPr>
        <w:fldChar w:fldCharType="begin"/>
      </w:r>
      <w:r>
        <w:rPr>
          <w:b/>
          <w:bCs/>
          <w:color w:val="auto"/>
          <w:sz w:val="28"/>
          <w:szCs w:val="32"/>
        </w:rPr>
        <w:instrText xml:space="preserve"> PAGEREF _Toc68619133 \h </w:instrText>
      </w:r>
      <w:r>
        <w:rPr>
          <w:b/>
          <w:bCs/>
          <w:color w:val="auto"/>
          <w:sz w:val="28"/>
          <w:szCs w:val="32"/>
        </w:rPr>
        <w:fldChar w:fldCharType="separate"/>
      </w:r>
      <w:r>
        <w:rPr>
          <w:b/>
          <w:bCs/>
          <w:color w:val="auto"/>
          <w:sz w:val="28"/>
          <w:szCs w:val="32"/>
        </w:rPr>
        <w:t>6</w:t>
      </w:r>
      <w:r>
        <w:rPr>
          <w:b/>
          <w:bCs/>
          <w:color w:val="auto"/>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"_Toc68619134" </w:instrText>
      </w:r>
      <w:r>
        <w:rPr>
          <w:color w:val="auto"/>
        </w:rPr>
        <w:fldChar w:fldCharType="separate"/>
      </w:r>
      <w:r>
        <w:rPr>
          <w:rStyle w:val="24"/>
          <w:rFonts w:ascii="华文中宋" w:hAnsi="华文中宋" w:eastAsia="华文中宋" w:cs="宋体"/>
          <w:b/>
          <w:bCs/>
          <w:color w:val="auto"/>
          <w:sz w:val="28"/>
          <w:szCs w:val="32"/>
        </w:rPr>
        <w:t>第三章</w:t>
      </w:r>
      <w:r>
        <w:rPr>
          <w:rStyle w:val="24"/>
          <w:rFonts w:hint="eastAsia" w:ascii="华文中宋" w:hAnsi="华文中宋" w:eastAsia="华文中宋" w:cs="宋体"/>
          <w:b/>
          <w:bCs/>
          <w:color w:val="auto"/>
          <w:sz w:val="28"/>
          <w:szCs w:val="32"/>
        </w:rPr>
        <w:t xml:space="preserve"> </w:t>
      </w:r>
      <w:r>
        <w:rPr>
          <w:rStyle w:val="24"/>
          <w:rFonts w:ascii="华文中宋" w:hAnsi="华文中宋" w:eastAsia="华文中宋" w:cs="宋体"/>
          <w:b/>
          <w:bCs/>
          <w:color w:val="auto"/>
          <w:sz w:val="28"/>
          <w:szCs w:val="32"/>
        </w:rPr>
        <w:t xml:space="preserve"> 资格证明文件</w:t>
      </w:r>
      <w:r>
        <w:rPr>
          <w:b/>
          <w:bCs/>
          <w:color w:val="auto"/>
          <w:sz w:val="28"/>
          <w:szCs w:val="32"/>
        </w:rPr>
        <w:tab/>
      </w:r>
      <w:r>
        <w:rPr>
          <w:b/>
          <w:bCs/>
          <w:color w:val="auto"/>
          <w:sz w:val="28"/>
          <w:szCs w:val="32"/>
        </w:rPr>
        <w:fldChar w:fldCharType="begin"/>
      </w:r>
      <w:r>
        <w:rPr>
          <w:b/>
          <w:bCs/>
          <w:color w:val="auto"/>
          <w:sz w:val="28"/>
          <w:szCs w:val="32"/>
        </w:rPr>
        <w:instrText xml:space="preserve"> PAGEREF _Toc68619134 \h </w:instrText>
      </w:r>
      <w:r>
        <w:rPr>
          <w:b/>
          <w:bCs/>
          <w:color w:val="auto"/>
          <w:sz w:val="28"/>
          <w:szCs w:val="32"/>
        </w:rPr>
        <w:fldChar w:fldCharType="separate"/>
      </w:r>
      <w:r>
        <w:rPr>
          <w:b/>
          <w:bCs/>
          <w:color w:val="auto"/>
          <w:sz w:val="28"/>
          <w:szCs w:val="32"/>
        </w:rPr>
        <w:t>14</w:t>
      </w:r>
      <w:r>
        <w:rPr>
          <w:b/>
          <w:bCs/>
          <w:color w:val="auto"/>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"_Toc68619135" </w:instrText>
      </w:r>
      <w:r>
        <w:rPr>
          <w:color w:val="auto"/>
        </w:rPr>
        <w:fldChar w:fldCharType="separate"/>
      </w:r>
      <w:r>
        <w:rPr>
          <w:rStyle w:val="24"/>
          <w:rFonts w:ascii="华文中宋" w:hAnsi="华文中宋" w:eastAsia="华文中宋" w:cs="宋体"/>
          <w:b/>
          <w:bCs/>
          <w:color w:val="auto"/>
          <w:sz w:val="28"/>
          <w:szCs w:val="32"/>
        </w:rPr>
        <w:t>第四章</w:t>
      </w:r>
      <w:r>
        <w:rPr>
          <w:rStyle w:val="24"/>
          <w:rFonts w:hint="eastAsia" w:ascii="华文中宋" w:hAnsi="华文中宋" w:eastAsia="华文中宋" w:cs="宋体"/>
          <w:b/>
          <w:bCs/>
          <w:color w:val="auto"/>
          <w:sz w:val="28"/>
          <w:szCs w:val="32"/>
        </w:rPr>
        <w:t xml:space="preserve"> </w:t>
      </w:r>
      <w:r>
        <w:rPr>
          <w:rStyle w:val="24"/>
          <w:rFonts w:ascii="华文中宋" w:hAnsi="华文中宋" w:eastAsia="华文中宋" w:cs="宋体"/>
          <w:b/>
          <w:bCs/>
          <w:color w:val="auto"/>
          <w:sz w:val="28"/>
          <w:szCs w:val="32"/>
        </w:rPr>
        <w:t xml:space="preserve"> 比选需求</w:t>
      </w:r>
      <w:r>
        <w:rPr>
          <w:b/>
          <w:bCs/>
          <w:color w:val="auto"/>
          <w:sz w:val="28"/>
          <w:szCs w:val="32"/>
        </w:rPr>
        <w:tab/>
      </w:r>
      <w:r>
        <w:rPr>
          <w:b/>
          <w:bCs/>
          <w:color w:val="auto"/>
          <w:sz w:val="28"/>
          <w:szCs w:val="32"/>
        </w:rPr>
        <w:fldChar w:fldCharType="begin"/>
      </w:r>
      <w:r>
        <w:rPr>
          <w:b/>
          <w:bCs/>
          <w:color w:val="auto"/>
          <w:sz w:val="28"/>
          <w:szCs w:val="32"/>
        </w:rPr>
        <w:instrText xml:space="preserve"> PAGEREF _Toc68619135 \h </w:instrText>
      </w:r>
      <w:r>
        <w:rPr>
          <w:b/>
          <w:bCs/>
          <w:color w:val="auto"/>
          <w:sz w:val="28"/>
          <w:szCs w:val="32"/>
        </w:rPr>
        <w:fldChar w:fldCharType="separate"/>
      </w:r>
      <w:r>
        <w:rPr>
          <w:b/>
          <w:bCs/>
          <w:color w:val="auto"/>
          <w:sz w:val="28"/>
          <w:szCs w:val="32"/>
        </w:rPr>
        <w:t>16</w:t>
      </w:r>
      <w:r>
        <w:rPr>
          <w:b/>
          <w:bCs/>
          <w:color w:val="auto"/>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"_Toc68619136" </w:instrText>
      </w:r>
      <w:r>
        <w:rPr>
          <w:color w:val="auto"/>
        </w:rPr>
        <w:fldChar w:fldCharType="separate"/>
      </w:r>
      <w:r>
        <w:rPr>
          <w:rStyle w:val="24"/>
          <w:rFonts w:ascii="华文中宋" w:hAnsi="华文中宋" w:eastAsia="华文中宋" w:cs="宋体"/>
          <w:b/>
          <w:bCs/>
          <w:color w:val="auto"/>
          <w:sz w:val="28"/>
          <w:szCs w:val="32"/>
        </w:rPr>
        <w:t>第五章  评审办法</w:t>
      </w:r>
      <w:r>
        <w:rPr>
          <w:b/>
          <w:bCs/>
          <w:color w:val="auto"/>
          <w:sz w:val="28"/>
          <w:szCs w:val="32"/>
        </w:rPr>
        <w:tab/>
      </w:r>
      <w:r>
        <w:rPr>
          <w:b/>
          <w:bCs/>
          <w:color w:val="auto"/>
          <w:sz w:val="28"/>
          <w:szCs w:val="32"/>
        </w:rPr>
        <w:fldChar w:fldCharType="begin"/>
      </w:r>
      <w:r>
        <w:rPr>
          <w:b/>
          <w:bCs/>
          <w:color w:val="auto"/>
          <w:sz w:val="28"/>
          <w:szCs w:val="32"/>
        </w:rPr>
        <w:instrText xml:space="preserve"> PAGEREF _Toc68619136 \h </w:instrText>
      </w:r>
      <w:r>
        <w:rPr>
          <w:b/>
          <w:bCs/>
          <w:color w:val="auto"/>
          <w:sz w:val="28"/>
          <w:szCs w:val="32"/>
        </w:rPr>
        <w:fldChar w:fldCharType="separate"/>
      </w:r>
      <w:r>
        <w:rPr>
          <w:b/>
          <w:bCs/>
          <w:color w:val="auto"/>
          <w:sz w:val="28"/>
          <w:szCs w:val="32"/>
        </w:rPr>
        <w:t>19</w:t>
      </w:r>
      <w:r>
        <w:rPr>
          <w:b/>
          <w:bCs/>
          <w:color w:val="auto"/>
          <w:sz w:val="28"/>
          <w:szCs w:val="32"/>
        </w:rPr>
        <w:fldChar w:fldCharType="end"/>
      </w:r>
      <w:r>
        <w:rPr>
          <w:b/>
          <w:bCs/>
          <w:color w:val="auto"/>
          <w:sz w:val="28"/>
          <w:szCs w:val="32"/>
        </w:rPr>
        <w:fldChar w:fldCharType="end"/>
      </w:r>
    </w:p>
    <w:p>
      <w:pPr>
        <w:tabs>
          <w:tab w:val="left" w:pos="3544"/>
        </w:tabs>
        <w:spacing w:line="480" w:lineRule="auto"/>
        <w:rPr>
          <w:rFonts w:ascii="Times New Roman" w:hAnsi="Times New Roman" w:cs="Times New Roman"/>
          <w:color w:val="auto"/>
          <w:sz w:val="24"/>
        </w:rPr>
      </w:pPr>
      <w:r>
        <w:rPr>
          <w:rFonts w:ascii="Times New Roman" w:hAnsi="Times New Roman" w:cs="Times New Roman"/>
          <w:b/>
          <w:bCs/>
          <w:color w:val="auto"/>
          <w:sz w:val="24"/>
        </w:rPr>
        <w:fldChar w:fldCharType="end"/>
      </w: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tabs>
          <w:tab w:val="left" w:pos="4980"/>
        </w:tabs>
        <w:spacing w:line="480" w:lineRule="auto"/>
        <w:jc w:val="left"/>
        <w:rPr>
          <w:rFonts w:ascii="Times New Roman" w:hAnsi="Times New Roman" w:cs="Times New Roman"/>
          <w:color w:val="auto"/>
          <w:sz w:val="24"/>
        </w:rPr>
      </w:pP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pStyle w:val="4"/>
        <w:jc w:val="center"/>
        <w:rPr>
          <w:rFonts w:ascii="华文中宋" w:hAnsi="华文中宋" w:eastAsia="华文中宋" w:cs="宋体"/>
          <w:b w:val="0"/>
          <w:color w:val="auto"/>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4"/>
        <w:jc w:val="center"/>
        <w:rPr>
          <w:rFonts w:ascii="华文中宋" w:hAnsi="华文中宋" w:eastAsia="华文中宋" w:cs="Times New Roman"/>
          <w:b w:val="0"/>
          <w:color w:val="auto"/>
        </w:rPr>
      </w:pPr>
      <w:bookmarkStart w:id="1" w:name="_Toc66971932"/>
      <w:bookmarkStart w:id="2" w:name="_Toc68619132"/>
      <w:r>
        <w:rPr>
          <w:rFonts w:ascii="华文中宋" w:hAnsi="华文中宋" w:eastAsia="华文中宋" w:cs="宋体"/>
          <w:b w:val="0"/>
          <w:color w:val="auto"/>
        </w:rPr>
        <w:t>第一章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比选邀请</w:t>
      </w:r>
      <w:bookmarkEnd w:id="1"/>
      <w:bookmarkEnd w:id="2"/>
    </w:p>
    <w:p>
      <w:pPr>
        <w:spacing w:before="80" w:after="80" w:line="360" w:lineRule="auto"/>
        <w:ind w:firstLine="482" w:firstLineChars="200"/>
        <w:rPr>
          <w:rFonts w:ascii="宋体" w:hAnsi="宋体" w:eastAsia="宋体" w:cs="宋体"/>
          <w:b/>
          <w:color w:val="auto"/>
          <w:sz w:val="24"/>
          <w:u w:val="single"/>
        </w:rPr>
      </w:pPr>
      <w:r>
        <w:rPr>
          <w:rFonts w:hint="eastAsia" w:ascii="宋体" w:hAnsi="宋体" w:eastAsia="宋体" w:cs="宋体"/>
          <w:b/>
          <w:color w:val="auto"/>
          <w:sz w:val="24"/>
          <w:u w:val="single"/>
          <w:lang w:eastAsia="zh-CN"/>
        </w:rPr>
        <w:t>成都市成华区中医医院</w:t>
      </w:r>
      <w:r>
        <w:rPr>
          <w:rFonts w:ascii="宋体" w:hAnsi="宋体" w:eastAsia="宋体" w:cs="宋体"/>
          <w:color w:val="auto"/>
          <w:sz w:val="24"/>
        </w:rPr>
        <w:t>拟对</w:t>
      </w:r>
      <w:r>
        <w:rPr>
          <w:rFonts w:hint="eastAsia" w:ascii="宋体" w:hAnsi="宋体" w:eastAsia="宋体" w:cs="宋体"/>
          <w:color w:val="auto"/>
          <w:sz w:val="24"/>
          <w:lang w:val="en-US" w:eastAsia="zh-CN"/>
        </w:rPr>
        <w:t>中药配方颗粒</w:t>
      </w:r>
      <w:r>
        <w:rPr>
          <w:rFonts w:hint="eastAsia" w:ascii="宋体" w:hAnsi="宋体" w:eastAsia="宋体" w:cs="宋体"/>
          <w:b/>
          <w:color w:val="auto"/>
          <w:sz w:val="24"/>
          <w:u w:val="single"/>
          <w:lang w:val="en-US" w:eastAsia="zh-CN"/>
        </w:rPr>
        <w:t>集中配送服务商</w:t>
      </w:r>
      <w:r>
        <w:rPr>
          <w:rFonts w:hint="eastAsia" w:ascii="宋体" w:hAnsi="宋体" w:eastAsia="宋体" w:cs="宋体"/>
          <w:b/>
          <w:color w:val="auto"/>
          <w:sz w:val="24"/>
          <w:u w:val="single"/>
        </w:rPr>
        <w:t>采购项目</w:t>
      </w:r>
      <w:r>
        <w:rPr>
          <w:rFonts w:ascii="宋体" w:hAnsi="宋体" w:eastAsia="宋体" w:cs="宋体"/>
          <w:color w:val="auto"/>
          <w:sz w:val="24"/>
        </w:rPr>
        <w:t>进行</w:t>
      </w:r>
      <w:r>
        <w:rPr>
          <w:rFonts w:hint="eastAsia" w:ascii="宋体" w:hAnsi="宋体" w:eastAsia="宋体" w:cs="宋体"/>
          <w:b/>
          <w:color w:val="auto"/>
          <w:sz w:val="24"/>
        </w:rPr>
        <w:t>公开</w:t>
      </w:r>
      <w:r>
        <w:rPr>
          <w:rFonts w:ascii="宋体" w:hAnsi="宋体" w:eastAsia="宋体" w:cs="宋体"/>
          <w:b/>
          <w:color w:val="auto"/>
          <w:sz w:val="24"/>
        </w:rPr>
        <w:t>比选，兹邀请相关比选申请人参加比选</w:t>
      </w:r>
      <w:r>
        <w:rPr>
          <w:rFonts w:ascii="宋体" w:hAnsi="宋体" w:eastAsia="宋体" w:cs="宋体"/>
          <w:color w:val="auto"/>
          <w:sz w:val="24"/>
        </w:rPr>
        <w:t>。</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项目名称：</w:t>
      </w:r>
      <w:r>
        <w:rPr>
          <w:rFonts w:hint="eastAsia" w:ascii="宋体" w:hAnsi="宋体" w:eastAsia="宋体" w:cs="宋体"/>
          <w:color w:val="auto"/>
          <w:sz w:val="24"/>
          <w:lang w:val="en-US" w:eastAsia="zh-CN"/>
        </w:rPr>
        <w:t>中药配方颗粒</w:t>
      </w:r>
      <w:r>
        <w:rPr>
          <w:rFonts w:hint="eastAsia" w:ascii="宋体" w:hAnsi="宋体" w:eastAsia="宋体" w:cs="宋体"/>
          <w:b/>
          <w:color w:val="auto"/>
          <w:sz w:val="24"/>
          <w:u w:val="single"/>
          <w:lang w:val="en-US" w:eastAsia="zh-CN"/>
        </w:rPr>
        <w:t>集中配送服务商</w:t>
      </w:r>
      <w:r>
        <w:rPr>
          <w:rFonts w:hint="eastAsia" w:ascii="宋体" w:hAnsi="宋体" w:eastAsia="宋体" w:cs="宋体"/>
          <w:b/>
          <w:color w:val="auto"/>
          <w:sz w:val="24"/>
          <w:u w:val="single"/>
        </w:rPr>
        <w:t>采购项目</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lang w:val="en-US" w:eastAsia="zh-CN"/>
        </w:rPr>
        <w:t>CG-2023-010</w:t>
      </w:r>
    </w:p>
    <w:p>
      <w:pPr>
        <w:numPr>
          <w:ilvl w:val="0"/>
          <w:numId w:val="1"/>
        </w:numPr>
        <w:spacing w:before="80" w:after="80" w:line="360" w:lineRule="auto"/>
        <w:ind w:left="0" w:leftChars="0" w:firstLine="482" w:firstLineChars="0"/>
        <w:rPr>
          <w:rFonts w:hint="eastAsia"/>
          <w:color w:val="auto"/>
        </w:rPr>
      </w:pPr>
      <w:r>
        <w:rPr>
          <w:rFonts w:ascii="宋体" w:hAnsi="宋体" w:eastAsia="宋体" w:cs="宋体"/>
          <w:b/>
          <w:color w:val="auto"/>
          <w:sz w:val="24"/>
        </w:rPr>
        <w:t>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r>
        <w:rPr>
          <w:rFonts w:hint="eastAsia"/>
          <w:color w:val="auto"/>
        </w:rPr>
        <w:t xml:space="preserve"> </w:t>
      </w:r>
    </w:p>
    <w:p>
      <w:pPr>
        <w:spacing w:before="80" w:after="8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01包：</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lang w:val="en-US" w:eastAsia="zh-CN"/>
        </w:rPr>
        <w:t>中药配方颗粒集中配送服务商采购</w:t>
      </w:r>
    </w:p>
    <w:p>
      <w:pPr>
        <w:spacing w:before="80" w:after="80" w:line="360" w:lineRule="auto"/>
        <w:ind w:firstLine="480" w:firstLineChars="200"/>
        <w:jc w:val="left"/>
        <w:rPr>
          <w:rFonts w:ascii="Times New Roman" w:hAnsi="Times New Roman" w:eastAsia="Times New Roman" w:cs="Times New Roman"/>
          <w:color w:val="auto"/>
          <w:sz w:val="24"/>
        </w:rPr>
      </w:pPr>
      <w:r>
        <w:rPr>
          <w:rFonts w:ascii="宋体" w:hAnsi="宋体" w:eastAsia="宋体" w:cs="宋体"/>
          <w:color w:val="auto"/>
          <w:sz w:val="24"/>
        </w:rPr>
        <w:t>注：超过预算金额</w:t>
      </w:r>
      <w:r>
        <w:rPr>
          <w:rFonts w:hint="eastAsia" w:ascii="宋体" w:hAnsi="宋体" w:eastAsia="宋体" w:cs="宋体"/>
          <w:color w:val="auto"/>
          <w:sz w:val="24"/>
        </w:rPr>
        <w:t>或最高限价</w:t>
      </w:r>
      <w:r>
        <w:rPr>
          <w:rFonts w:ascii="宋体" w:hAnsi="宋体" w:eastAsia="宋体" w:cs="宋体"/>
          <w:color w:val="auto"/>
          <w:sz w:val="24"/>
        </w:rPr>
        <w:t>的报价将作为无效响应处理。</w:t>
      </w:r>
    </w:p>
    <w:p>
      <w:pPr>
        <w:spacing w:before="80" w:after="80" w:line="360" w:lineRule="auto"/>
        <w:ind w:firstLine="482" w:firstLineChars="200"/>
        <w:rPr>
          <w:rFonts w:ascii="Times New Roman" w:hAnsi="Times New Roman" w:eastAsia="Times New Roman" w:cs="Times New Roman"/>
          <w:b/>
          <w:color w:val="auto"/>
          <w:sz w:val="24"/>
        </w:rPr>
      </w:pPr>
      <w:r>
        <w:rPr>
          <w:rFonts w:ascii="宋体" w:hAnsi="宋体" w:eastAsia="宋体" w:cs="宋体"/>
          <w:b/>
          <w:color w:val="auto"/>
          <w:sz w:val="24"/>
        </w:rPr>
        <w:t>四、比选申请人资格要求：</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1</w:t>
      </w:r>
      <w:r>
        <w:rPr>
          <w:rFonts w:hint="eastAsia" w:ascii="宋体" w:hAnsi="宋体" w:eastAsia="宋体" w:cs="宋体"/>
          <w:color w:val="auto"/>
          <w:sz w:val="24"/>
        </w:rPr>
        <w:t>、在中华人民共和国境内依法注册的法人或者其他组织；</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2</w:t>
      </w:r>
      <w:r>
        <w:rPr>
          <w:rFonts w:hint="eastAsia" w:ascii="宋体" w:hAnsi="宋体" w:eastAsia="宋体" w:cs="宋体"/>
          <w:color w:val="auto"/>
          <w:sz w:val="24"/>
        </w:rPr>
        <w:t>、具有良好的商业信誉和健全的财务会计制度；</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3</w:t>
      </w:r>
      <w:r>
        <w:rPr>
          <w:rFonts w:hint="eastAsia" w:ascii="宋体" w:hAnsi="宋体" w:eastAsia="宋体" w:cs="宋体"/>
          <w:color w:val="auto"/>
          <w:sz w:val="24"/>
        </w:rPr>
        <w:t>、具有履行合同所必须的设备和专业技术能力；</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4</w:t>
      </w:r>
      <w:r>
        <w:rPr>
          <w:rFonts w:hint="eastAsia" w:ascii="宋体" w:hAnsi="宋体" w:eastAsia="宋体" w:cs="宋体"/>
          <w:color w:val="auto"/>
          <w:sz w:val="24"/>
        </w:rPr>
        <w:t>、具有依法缴纳税收和社会保障资金的良好记录；</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5</w:t>
      </w:r>
      <w:r>
        <w:rPr>
          <w:rFonts w:hint="eastAsia" w:ascii="宋体" w:hAnsi="宋体" w:eastAsia="宋体" w:cs="宋体"/>
          <w:color w:val="auto"/>
          <w:sz w:val="24"/>
        </w:rPr>
        <w:t>、参加本次比选活动前三年内，在经营活动中没有重大违法记录；</w:t>
      </w:r>
    </w:p>
    <w:p>
      <w:pPr>
        <w:spacing w:before="80" w:after="80" w:line="360" w:lineRule="auto"/>
        <w:ind w:firstLine="480" w:firstLineChars="200"/>
        <w:rPr>
          <w:rFonts w:ascii="宋体" w:hAnsi="宋体" w:eastAsia="宋体" w:cs="宋体"/>
          <w:color w:val="auto"/>
          <w:sz w:val="24"/>
        </w:rPr>
      </w:pPr>
      <w:r>
        <w:rPr>
          <w:rFonts w:hint="eastAsia" w:ascii="Times New Roman" w:hAnsi="Times New Roman" w:eastAsia="Times New Roman" w:cs="Times New Roman"/>
          <w:color w:val="auto"/>
          <w:sz w:val="24"/>
        </w:rPr>
        <w:t>6</w:t>
      </w:r>
      <w:r>
        <w:rPr>
          <w:rFonts w:hint="eastAsia" w:ascii="宋体" w:hAnsi="宋体" w:eastAsia="宋体" w:cs="宋体"/>
          <w:color w:val="auto"/>
          <w:sz w:val="24"/>
        </w:rPr>
        <w:t>、比选申请人还符合法律、行政法规规定的其他强制性条件；</w:t>
      </w:r>
    </w:p>
    <w:p>
      <w:pPr>
        <w:spacing w:before="80" w:after="80" w:line="360" w:lineRule="auto"/>
        <w:ind w:firstLine="480" w:firstLineChars="200"/>
        <w:rPr>
          <w:rFonts w:ascii="宋体" w:hAnsi="宋体" w:eastAsia="宋体" w:cs="宋体"/>
          <w:color w:val="auto"/>
          <w:sz w:val="24"/>
        </w:rPr>
      </w:pPr>
      <w:r>
        <w:rPr>
          <w:rFonts w:ascii="Times New Roman" w:hAnsi="Times New Roman" w:eastAsia="Times New Roman" w:cs="Times New Roman"/>
          <w:color w:val="auto"/>
          <w:sz w:val="24"/>
        </w:rPr>
        <w:t>7</w:t>
      </w:r>
      <w:r>
        <w:rPr>
          <w:rFonts w:hint="eastAsia" w:ascii="宋体" w:hAnsi="宋体" w:eastAsia="宋体" w:cs="宋体"/>
          <w:color w:val="auto"/>
          <w:sz w:val="24"/>
        </w:rPr>
        <w:t>、本项目不接受联合体参与</w:t>
      </w:r>
      <w:r>
        <w:rPr>
          <w:rFonts w:ascii="宋体" w:hAnsi="宋体" w:eastAsia="宋体" w:cs="宋体"/>
          <w:color w:val="auto"/>
          <w:sz w:val="24"/>
        </w:rPr>
        <w:t>。</w:t>
      </w:r>
    </w:p>
    <w:p>
      <w:pPr>
        <w:tabs>
          <w:tab w:val="left" w:pos="7665"/>
        </w:tabs>
        <w:spacing w:line="400" w:lineRule="exact"/>
        <w:ind w:firstLine="480" w:firstLineChars="200"/>
        <w:rPr>
          <w:rFonts w:hint="eastAsia" w:ascii="宋体"/>
          <w:color w:val="auto"/>
          <w:sz w:val="24"/>
        </w:rPr>
      </w:pPr>
      <w:r>
        <w:rPr>
          <w:rFonts w:hint="eastAsia" w:ascii="宋体"/>
          <w:color w:val="auto"/>
          <w:sz w:val="24"/>
        </w:rPr>
        <w:t>8、根据采购项目提出的特殊条件</w:t>
      </w:r>
    </w:p>
    <w:p>
      <w:pPr>
        <w:tabs>
          <w:tab w:val="left" w:pos="7665"/>
        </w:tabs>
        <w:spacing w:line="400" w:lineRule="exact"/>
        <w:ind w:left="210" w:leftChars="100" w:firstLine="600" w:firstLineChars="250"/>
        <w:rPr>
          <w:rFonts w:hint="eastAsia" w:ascii="宋体"/>
          <w:color w:val="auto"/>
          <w:sz w:val="24"/>
        </w:rPr>
      </w:pPr>
      <w:r>
        <w:rPr>
          <w:rFonts w:hint="eastAsia" w:ascii="宋体"/>
          <w:color w:val="auto"/>
          <w:sz w:val="24"/>
        </w:rPr>
        <w:t>8.1参加本项目采购活动的配送商单位、法定代表人、主要负责人在前 3 年内不得具有行贿犯罪记录，同时在国家有关部门例行检查中无违纪违规通报记录；</w:t>
      </w:r>
    </w:p>
    <w:p>
      <w:pPr>
        <w:tabs>
          <w:tab w:val="left" w:pos="7665"/>
        </w:tabs>
        <w:spacing w:line="400" w:lineRule="exact"/>
        <w:ind w:left="210" w:leftChars="100" w:firstLine="600" w:firstLineChars="250"/>
        <w:rPr>
          <w:rFonts w:hint="eastAsia" w:ascii="宋体"/>
          <w:color w:val="auto"/>
          <w:sz w:val="24"/>
        </w:rPr>
      </w:pPr>
      <w:r>
        <w:rPr>
          <w:rFonts w:hint="eastAsia" w:ascii="宋体"/>
          <w:color w:val="auto"/>
          <w:sz w:val="24"/>
        </w:rPr>
        <w:t>8.2具有《药品经营许可证》</w:t>
      </w:r>
    </w:p>
    <w:p>
      <w:pPr>
        <w:spacing w:before="80" w:after="80" w:line="360" w:lineRule="auto"/>
        <w:ind w:firstLine="720" w:firstLineChars="300"/>
        <w:rPr>
          <w:rFonts w:ascii="宋体" w:hAnsi="宋体" w:eastAsia="宋体" w:cs="宋体"/>
          <w:color w:val="auto"/>
          <w:sz w:val="24"/>
        </w:rPr>
      </w:pPr>
      <w:r>
        <w:rPr>
          <w:rFonts w:hint="eastAsia" w:ascii="宋体"/>
          <w:color w:val="auto"/>
          <w:sz w:val="24"/>
        </w:rPr>
        <w:t>8.</w:t>
      </w:r>
      <w:r>
        <w:rPr>
          <w:rFonts w:hint="eastAsia" w:ascii="宋体"/>
          <w:color w:val="auto"/>
          <w:sz w:val="24"/>
          <w:lang w:val="en-US" w:eastAsia="zh-CN"/>
        </w:rPr>
        <w:t>3</w:t>
      </w:r>
      <w:r>
        <w:rPr>
          <w:rFonts w:hint="eastAsia" w:ascii="宋体"/>
          <w:color w:val="auto"/>
          <w:sz w:val="24"/>
        </w:rPr>
        <w:t>具有产品来源合法渠道</w:t>
      </w:r>
    </w:p>
    <w:p>
      <w:pPr>
        <w:spacing w:before="80" w:after="80" w:line="360" w:lineRule="auto"/>
        <w:ind w:firstLine="482" w:firstLineChars="200"/>
        <w:rPr>
          <w:rFonts w:ascii="Times New Roman" w:hAnsi="Times New Roman" w:eastAsia="Times New Roman" w:cs="Times New Roman"/>
          <w:b/>
          <w:color w:val="auto"/>
          <w:sz w:val="24"/>
        </w:rPr>
      </w:pPr>
      <w:r>
        <w:rPr>
          <w:rFonts w:ascii="宋体" w:hAnsi="宋体" w:eastAsia="宋体" w:cs="宋体"/>
          <w:b/>
          <w:color w:val="auto"/>
          <w:sz w:val="24"/>
        </w:rPr>
        <w:t>五、</w:t>
      </w:r>
      <w:r>
        <w:rPr>
          <w:rFonts w:hint="eastAsia" w:ascii="宋体" w:hAnsi="宋体" w:eastAsia="宋体" w:cs="宋体"/>
          <w:b/>
          <w:color w:val="auto"/>
          <w:sz w:val="24"/>
        </w:rPr>
        <w:t>比选报名、</w:t>
      </w:r>
      <w:r>
        <w:rPr>
          <w:rFonts w:ascii="宋体" w:hAnsi="宋体" w:eastAsia="宋体" w:cs="宋体"/>
          <w:b/>
          <w:color w:val="auto"/>
          <w:sz w:val="24"/>
        </w:rPr>
        <w:t>比选文件</w:t>
      </w:r>
      <w:r>
        <w:rPr>
          <w:rFonts w:hint="eastAsia" w:ascii="宋体" w:hAnsi="宋体" w:eastAsia="宋体" w:cs="宋体"/>
          <w:b/>
          <w:color w:val="auto"/>
          <w:sz w:val="24"/>
        </w:rPr>
        <w:t>领取</w:t>
      </w:r>
      <w:r>
        <w:rPr>
          <w:rFonts w:ascii="宋体" w:hAnsi="宋体" w:eastAsia="宋体" w:cs="宋体"/>
          <w:b/>
          <w:color w:val="auto"/>
          <w:sz w:val="24"/>
        </w:rPr>
        <w:t>时间、地点：</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w:t>
      </w:r>
      <w:r>
        <w:rPr>
          <w:rFonts w:ascii="宋体" w:hAnsi="宋体" w:eastAsia="宋体" w:cs="宋体"/>
          <w:color w:val="auto"/>
          <w:sz w:val="24"/>
        </w:rPr>
        <w:t>比选文件</w:t>
      </w:r>
      <w:r>
        <w:rPr>
          <w:rFonts w:hint="eastAsia" w:ascii="宋体" w:hAnsi="宋体" w:eastAsia="宋体" w:cs="宋体"/>
          <w:color w:val="auto"/>
          <w:sz w:val="24"/>
        </w:rPr>
        <w:t>领取时间：</w:t>
      </w:r>
      <w:r>
        <w:rPr>
          <w:rFonts w:ascii="宋体" w:hAnsi="宋体" w:eastAsia="宋体" w:cs="宋体"/>
          <w:color w:val="auto"/>
          <w:sz w:val="24"/>
        </w:rPr>
        <w:t>自</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月</w:t>
      </w:r>
      <w:r>
        <w:rPr>
          <w:rFonts w:hint="eastAsia" w:ascii="Times New Roman" w:hAnsi="Times New Roman" w:eastAsia="宋体" w:cs="Times New Roman"/>
          <w:color w:val="auto"/>
          <w:sz w:val="24"/>
          <w:lang w:val="en-US" w:eastAsia="zh-CN"/>
        </w:rPr>
        <w:t>16</w:t>
      </w:r>
      <w:r>
        <w:rPr>
          <w:rFonts w:ascii="宋体" w:hAnsi="宋体" w:eastAsia="宋体" w:cs="宋体"/>
          <w:color w:val="auto"/>
          <w:sz w:val="24"/>
        </w:rPr>
        <w:t>日至</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月</w:t>
      </w:r>
      <w:r>
        <w:rPr>
          <w:rFonts w:hint="eastAsia" w:ascii="宋体" w:hAnsi="宋体" w:eastAsia="宋体" w:cs="宋体"/>
          <w:color w:val="auto"/>
          <w:sz w:val="24"/>
          <w:lang w:val="en-US" w:eastAsia="zh-CN"/>
        </w:rPr>
        <w:t>21</w:t>
      </w:r>
      <w:r>
        <w:rPr>
          <w:rFonts w:ascii="宋体" w:hAnsi="宋体" w:eastAsia="宋体" w:cs="宋体"/>
          <w:color w:val="auto"/>
          <w:sz w:val="24"/>
        </w:rPr>
        <w:t>日上午</w:t>
      </w:r>
      <w:r>
        <w:rPr>
          <w:rFonts w:ascii="Times New Roman" w:hAnsi="Times New Roman" w:eastAsia="Times New Roman" w:cs="Times New Roman"/>
          <w:color w:val="auto"/>
          <w:sz w:val="24"/>
        </w:rPr>
        <w:t>9:00-12:00</w:t>
      </w:r>
      <w:r>
        <w:rPr>
          <w:rFonts w:ascii="宋体" w:hAnsi="宋体" w:eastAsia="宋体" w:cs="宋体"/>
          <w:color w:val="auto"/>
          <w:sz w:val="24"/>
        </w:rPr>
        <w:t>，下午</w:t>
      </w:r>
      <w:r>
        <w:rPr>
          <w:rFonts w:ascii="Times New Roman" w:hAnsi="Times New Roman" w:eastAsia="Times New Roman" w:cs="Times New Roman"/>
          <w:color w:val="auto"/>
          <w:sz w:val="24"/>
        </w:rPr>
        <w:t>13:00- 17:00</w:t>
      </w:r>
      <w:r>
        <w:rPr>
          <w:rFonts w:ascii="宋体" w:hAnsi="宋体" w:eastAsia="宋体" w:cs="宋体"/>
          <w:color w:val="auto"/>
          <w:sz w:val="24"/>
        </w:rPr>
        <w:t>（北京时间）</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w:t>
      </w:r>
      <w:r>
        <w:rPr>
          <w:rFonts w:hint="eastAsia" w:ascii="宋体" w:hAnsi="宋体" w:eastAsia="宋体" w:cs="宋体"/>
          <w:color w:val="auto"/>
          <w:sz w:val="24"/>
          <w:lang w:val="en-US" w:eastAsia="zh-CN"/>
        </w:rPr>
        <w:t>申请</w:t>
      </w:r>
      <w:r>
        <w:rPr>
          <w:rFonts w:hint="eastAsia" w:ascii="宋体" w:hAnsi="宋体" w:eastAsia="宋体" w:cs="宋体"/>
          <w:color w:val="auto"/>
          <w:sz w:val="24"/>
        </w:rPr>
        <w:t>文件</w:t>
      </w:r>
      <w:r>
        <w:rPr>
          <w:rFonts w:hint="eastAsia" w:ascii="宋体" w:hAnsi="宋体" w:eastAsia="宋体" w:cs="宋体"/>
          <w:color w:val="auto"/>
          <w:sz w:val="24"/>
          <w:lang w:val="en-US" w:eastAsia="zh-CN"/>
        </w:rPr>
        <w:t>递交</w:t>
      </w:r>
      <w:r>
        <w:rPr>
          <w:rFonts w:hint="eastAsia" w:ascii="宋体" w:hAnsi="宋体" w:eastAsia="宋体" w:cs="宋体"/>
          <w:color w:val="auto"/>
          <w:sz w:val="24"/>
        </w:rPr>
        <w:t>地点：</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rPr>
        <w:t>（</w:t>
      </w:r>
      <w:r>
        <w:rPr>
          <w:rFonts w:hint="eastAsia" w:ascii="宋体" w:hAnsi="宋体" w:eastAsia="宋体" w:cs="宋体"/>
          <w:color w:val="auto"/>
          <w:sz w:val="24"/>
          <w:lang w:val="en-US" w:eastAsia="zh-CN"/>
        </w:rPr>
        <w:t>成都市成华区长秀路133号</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比选报名及比选文件领取要求：</w:t>
      </w:r>
      <w:r>
        <w:rPr>
          <w:rFonts w:ascii="宋体" w:hAnsi="宋体" w:eastAsia="宋体" w:cs="宋体"/>
          <w:color w:val="auto"/>
          <w:sz w:val="24"/>
        </w:rPr>
        <w:t>本项目比选文件</w:t>
      </w:r>
      <w:r>
        <w:rPr>
          <w:rFonts w:hint="eastAsia" w:ascii="宋体" w:hAnsi="宋体" w:eastAsia="宋体" w:cs="宋体"/>
          <w:color w:val="auto"/>
          <w:sz w:val="24"/>
        </w:rPr>
        <w:t>领取不收取费用</w:t>
      </w:r>
      <w:r>
        <w:rPr>
          <w:rFonts w:ascii="宋体" w:hAnsi="宋体" w:eastAsia="宋体" w:cs="宋体"/>
          <w:color w:val="auto"/>
          <w:sz w:val="24"/>
        </w:rPr>
        <w:t>。</w:t>
      </w:r>
      <w:r>
        <w:rPr>
          <w:rFonts w:hint="eastAsia" w:ascii="宋体" w:hAnsi="宋体" w:eastAsia="宋体" w:cs="宋体"/>
          <w:color w:val="auto"/>
          <w:sz w:val="24"/>
        </w:rPr>
        <w:t>报名资格不得转让，否则视为无效。比选申请人参与报名登记时须持有效介绍信、营业执照或其他组织机构证明复印件、身份证复印件，并加盖公章</w:t>
      </w:r>
    </w:p>
    <w:p>
      <w:pPr>
        <w:spacing w:before="80" w:after="80" w:line="360" w:lineRule="auto"/>
        <w:ind w:firstLine="482"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六</w:t>
      </w:r>
      <w:r>
        <w:rPr>
          <w:rFonts w:ascii="宋体" w:hAnsi="宋体" w:eastAsia="宋体" w:cs="宋体"/>
          <w:b/>
          <w:color w:val="auto"/>
          <w:sz w:val="24"/>
        </w:rPr>
        <w:t>、比选时间和地点：</w:t>
      </w:r>
    </w:p>
    <w:p>
      <w:pPr>
        <w:spacing w:before="80" w:after="80" w:line="360" w:lineRule="auto"/>
        <w:ind w:firstLine="482" w:firstLineChars="200"/>
        <w:rPr>
          <w:rFonts w:ascii="Times New Roman" w:hAnsi="Times New Roman" w:eastAsia="Times New Roman" w:cs="Times New Roman"/>
          <w:b/>
          <w:color w:val="auto"/>
          <w:sz w:val="24"/>
          <w:u w:val="single"/>
        </w:rPr>
      </w:pPr>
      <w:r>
        <w:rPr>
          <w:rFonts w:ascii="宋体" w:hAnsi="宋体" w:eastAsia="宋体" w:cs="宋体"/>
          <w:b/>
          <w:color w:val="auto"/>
          <w:sz w:val="24"/>
        </w:rPr>
        <w:t>比选</w:t>
      </w:r>
      <w:r>
        <w:rPr>
          <w:rFonts w:hint="eastAsia" w:ascii="宋体" w:hAnsi="宋体" w:eastAsia="宋体" w:cs="宋体"/>
          <w:b/>
          <w:color w:val="auto"/>
          <w:sz w:val="24"/>
          <w:lang w:val="en-US" w:eastAsia="zh-CN"/>
        </w:rPr>
        <w:t>申请文件递交</w:t>
      </w:r>
      <w:r>
        <w:rPr>
          <w:rFonts w:ascii="宋体" w:hAnsi="宋体" w:eastAsia="宋体" w:cs="宋体"/>
          <w:b/>
          <w:color w:val="auto"/>
          <w:sz w:val="24"/>
        </w:rPr>
        <w:t>截止时间和比选时间：</w:t>
      </w:r>
      <w:r>
        <w:rPr>
          <w:rFonts w:hint="eastAsia" w:ascii="宋体" w:hAnsi="宋体" w:eastAsia="宋体" w:cs="宋体"/>
          <w:b/>
          <w:color w:val="auto"/>
          <w:sz w:val="24"/>
          <w:u w:val="single"/>
          <w:lang w:eastAsia="zh-CN"/>
        </w:rPr>
        <w:t>202</w:t>
      </w:r>
      <w:r>
        <w:rPr>
          <w:rFonts w:hint="eastAsia" w:ascii="宋体" w:hAnsi="宋体" w:eastAsia="宋体" w:cs="宋体"/>
          <w:b/>
          <w:color w:val="auto"/>
          <w:sz w:val="24"/>
          <w:u w:val="single"/>
          <w:lang w:val="en-US" w:eastAsia="zh-CN"/>
        </w:rPr>
        <w:t>3</w:t>
      </w:r>
      <w:r>
        <w:rPr>
          <w:rFonts w:ascii="宋体" w:hAnsi="宋体" w:eastAsia="宋体" w:cs="宋体"/>
          <w:b/>
          <w:color w:val="auto"/>
          <w:sz w:val="24"/>
          <w:u w:val="single"/>
        </w:rPr>
        <w:t>年</w:t>
      </w:r>
      <w:r>
        <w:rPr>
          <w:rFonts w:hint="eastAsia" w:ascii="宋体" w:hAnsi="宋体" w:eastAsia="宋体" w:cs="宋体"/>
          <w:b/>
          <w:color w:val="auto"/>
          <w:sz w:val="24"/>
          <w:u w:val="single"/>
          <w:lang w:val="en-US" w:eastAsia="zh-CN"/>
        </w:rPr>
        <w:t>3</w:t>
      </w:r>
      <w:r>
        <w:rPr>
          <w:rFonts w:ascii="宋体" w:hAnsi="宋体" w:eastAsia="宋体" w:cs="宋体"/>
          <w:b/>
          <w:color w:val="auto"/>
          <w:sz w:val="24"/>
          <w:u w:val="single"/>
        </w:rPr>
        <w:t>月</w:t>
      </w:r>
      <w:r>
        <w:rPr>
          <w:rFonts w:hint="eastAsia" w:ascii="宋体" w:hAnsi="宋体" w:eastAsia="宋体" w:cs="宋体"/>
          <w:b/>
          <w:color w:val="auto"/>
          <w:sz w:val="24"/>
          <w:u w:val="single"/>
          <w:lang w:val="en-US" w:eastAsia="zh-CN"/>
        </w:rPr>
        <w:t>22</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10:00</w:t>
      </w:r>
      <w:r>
        <w:rPr>
          <w:rFonts w:ascii="宋体" w:hAnsi="宋体" w:eastAsia="宋体" w:cs="宋体"/>
          <w:b/>
          <w:color w:val="auto"/>
          <w:sz w:val="24"/>
          <w:u w:val="single"/>
        </w:rPr>
        <w:t>（北京时间）</w:t>
      </w:r>
    </w:p>
    <w:p>
      <w:pPr>
        <w:spacing w:before="80" w:after="80" w:line="360" w:lineRule="auto"/>
        <w:ind w:firstLine="480" w:firstLineChars="200"/>
        <w:rPr>
          <w:rFonts w:ascii="Times New Roman" w:hAnsi="Times New Roman" w:eastAsia="Times New Roman" w:cs="Times New Roman"/>
          <w:color w:val="auto"/>
          <w:sz w:val="24"/>
        </w:rPr>
      </w:pPr>
      <w:r>
        <w:rPr>
          <w:rFonts w:ascii="宋体" w:hAnsi="宋体" w:eastAsia="宋体" w:cs="宋体"/>
          <w:color w:val="auto"/>
          <w:sz w:val="24"/>
        </w:rPr>
        <w:t>比选申请文件必须在比选截止时间前送达开标地点。逾期送达或没有密封的比选申请文件不予接收。本次比选不接受邮寄的比选申请文件。</w:t>
      </w:r>
    </w:p>
    <w:p>
      <w:pPr>
        <w:spacing w:before="80" w:after="80" w:line="360" w:lineRule="auto"/>
        <w:ind w:firstLine="482"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pPr>
        <w:spacing w:before="80" w:after="80"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七、本项目网上发布地址：</w:t>
      </w:r>
    </w:p>
    <w:p>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比选公告、变更、结果发布均在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pPr>
        <w:spacing w:before="80" w:after="80" w:line="360" w:lineRule="auto"/>
        <w:ind w:firstLine="482"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八</w:t>
      </w:r>
      <w:r>
        <w:rPr>
          <w:rFonts w:ascii="宋体" w:hAnsi="宋体" w:eastAsia="宋体" w:cs="宋体"/>
          <w:b/>
          <w:color w:val="auto"/>
          <w:sz w:val="24"/>
        </w:rPr>
        <w:t>、比选人的有关信息：</w:t>
      </w:r>
    </w:p>
    <w:p>
      <w:pPr>
        <w:spacing w:before="80" w:after="80"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比选人：</w:t>
      </w:r>
      <w:r>
        <w:rPr>
          <w:rFonts w:hint="eastAsia" w:ascii="宋体" w:hAnsi="宋体" w:eastAsia="宋体" w:cs="宋体"/>
          <w:b/>
          <w:color w:val="auto"/>
          <w:sz w:val="24"/>
          <w:lang w:eastAsia="zh-CN"/>
        </w:rPr>
        <w:t>成都市成华区中医医院</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秦涛</w:t>
      </w:r>
    </w:p>
    <w:p>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028-60828099</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5"/>
        <w:rPr>
          <w:rFonts w:ascii="华文中宋" w:hAnsi="华文中宋" w:eastAsia="华文中宋" w:cs="Cambria"/>
          <w:bCs w:val="0"/>
          <w:color w:val="auto"/>
        </w:rPr>
      </w:pPr>
      <w:r>
        <w:rPr>
          <w:rFonts w:ascii="华文中宋" w:hAnsi="华文中宋" w:eastAsia="华文中宋" w:cs="宋体"/>
          <w:bCs w:val="0"/>
          <w:color w:val="auto"/>
        </w:rPr>
        <w:t>比选申请人须知</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1、比选文件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比选申请人应仔细阅读本比选文件，按比选文件的规定和本比选文件第二章要求的格式编写比选申请书。</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2、比选</w:t>
      </w:r>
      <w:r>
        <w:rPr>
          <w:rFonts w:hint="eastAsia" w:ascii="华文中宋" w:hAnsi="华文中宋" w:eastAsia="华文中宋" w:cs="宋体"/>
          <w:bCs w:val="0"/>
          <w:color w:val="auto"/>
          <w:sz w:val="24"/>
          <w:szCs w:val="24"/>
          <w:lang w:val="en-US" w:eastAsia="zh-CN"/>
        </w:rPr>
        <w:t>申请响应报价</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2.1所有报价一律以人民币报价。比选人不接受任何非人民币币种的报价。</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2.2比选申请人的报价是其响应本项目要求的全部工作内容的价格体现，包括比选申请人完成本项目所需的一切费用。其中项目执行过程中产生的差旅费均包含在本次报价中。</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3、比选申请书</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 比选申请书的编制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3.1.1 比选申请书的格式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 比选申请书的签署</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3.2.1比选申请人应在比选申请书封面加盖单位公章。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3.2.2 比选申请书的密封与标识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3.2.3 未按以上要求密封和加写标记的比选申请书将不予受理。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3.3比选申请书的递交</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比选申请书应该在比选邀请中规定的比选申请书提交截止时间前提交。迟到的比选申请书比选人将拒绝接收。</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、比选响应有效期（实质性要求）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.1比选响应有效期为9</w:t>
      </w:r>
      <w:r>
        <w:rPr>
          <w:rFonts w:ascii="宋体" w:hAnsi="宋体" w:eastAsia="宋体" w:cs="宋体"/>
          <w:color w:val="auto"/>
          <w:sz w:val="24"/>
        </w:rPr>
        <w:t>0</w:t>
      </w:r>
      <w:r>
        <w:rPr>
          <w:rFonts w:hint="eastAsia" w:ascii="宋体" w:hAnsi="宋体" w:eastAsia="宋体" w:cs="宋体"/>
          <w:color w:val="auto"/>
          <w:sz w:val="24"/>
        </w:rPr>
        <w:t>天。</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.3 在比选响应有效期内，比选申请人将依法接受其比选申请文件的约束。</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5、评审</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.1 评审委员会</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评审工作由比选人组建的评审委员会负责，评审委员会成员人数为3人（含3人）以上单数。</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.2 比选活动在比选文件约定的地方进行。</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 比选程序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比选人在监督人员监督的情况下，在比选文件规定地点、时间当场开封所有比选申请书，按照以下程序进行：</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.3.1 对比选申请文件进行审查，剔除无效申请文件；</w:t>
      </w:r>
    </w:p>
    <w:p>
      <w:pPr>
        <w:spacing w:before="80" w:after="80" w:line="360" w:lineRule="auto"/>
        <w:ind w:firstLine="482" w:firstLineChars="200"/>
        <w:rPr>
          <w:rFonts w:ascii="Times New Roman" w:hAnsi="Times New Roman" w:eastAsia="Times New Roman" w:cs="Times New Roman"/>
          <w:b/>
          <w:color w:val="auto"/>
          <w:sz w:val="24"/>
        </w:rPr>
      </w:pPr>
      <w:r>
        <w:rPr>
          <w:rFonts w:ascii="宋体" w:hAnsi="宋体" w:eastAsia="宋体" w:cs="宋体"/>
          <w:b/>
          <w:color w:val="auto"/>
          <w:sz w:val="24"/>
        </w:rPr>
        <w:t>有下列情况之一的视为无效比选申请文件，除此之外，评审委员会不得再以不符合比选文件中规定的其他实质性要求来判定无效申请文件：</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w:t>
      </w:r>
      <w:r>
        <w:rPr>
          <w:rFonts w:ascii="宋体" w:hAnsi="宋体" w:eastAsia="宋体" w:cs="宋体"/>
          <w:color w:val="auto"/>
          <w:sz w:val="24"/>
        </w:rPr>
        <w:t>未按比选文件规定盖章或签字的；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w:t>
      </w:r>
      <w:r>
        <w:rPr>
          <w:rFonts w:ascii="宋体" w:hAnsi="宋体" w:eastAsia="宋体" w:cs="宋体"/>
          <w:color w:val="auto"/>
          <w:sz w:val="24"/>
        </w:rPr>
        <w:t>比选申请文件中的报价高于本项目预算或最高限价</w:t>
      </w:r>
      <w:r>
        <w:rPr>
          <w:rFonts w:hint="eastAsia" w:ascii="宋体" w:hAnsi="宋体" w:eastAsia="宋体" w:cs="宋体"/>
          <w:color w:val="auto"/>
          <w:sz w:val="24"/>
        </w:rPr>
        <w:t>或未按比选文件规定进行报价的</w:t>
      </w:r>
      <w:r>
        <w:rPr>
          <w:rFonts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w:t>
      </w:r>
      <w:r>
        <w:rPr>
          <w:rFonts w:ascii="宋体" w:hAnsi="宋体" w:eastAsia="宋体" w:cs="宋体"/>
          <w:color w:val="auto"/>
          <w:sz w:val="24"/>
        </w:rPr>
        <w:t>比选申请文件不满足本项目实质性要求的</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.3.2重新组织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本次比选活动中，出现下列情形之一的，予以重新组织：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（1）比选申请人少于3家的；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（2）出现影响比选公正的违法、违规行为的；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.4 评审委员会有权对比选申请书提出澄清，比选</w:t>
      </w:r>
      <w:r>
        <w:rPr>
          <w:rFonts w:hint="eastAsia" w:ascii="宋体" w:hAnsi="宋体" w:eastAsia="宋体" w:cs="宋体"/>
          <w:color w:val="auto"/>
          <w:sz w:val="24"/>
        </w:rPr>
        <w:t>申请人</w:t>
      </w:r>
      <w:r>
        <w:rPr>
          <w:rFonts w:ascii="宋体" w:hAnsi="宋体" w:eastAsia="宋体" w:cs="宋体"/>
          <w:color w:val="auto"/>
          <w:sz w:val="24"/>
        </w:rPr>
        <w:t>应予以配合，若不予以配合的，比选申请书无效。</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、中选通知书发放</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比选人将在结果公告发布后通知中选的比选申请人领取中选通知书。</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7、合同签订</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中选通知书发出之日起30</w:t>
      </w:r>
      <w:r>
        <w:rPr>
          <w:rFonts w:hint="eastAsia" w:ascii="宋体" w:hAnsi="宋体" w:eastAsia="宋体" w:cs="宋体"/>
          <w:color w:val="auto"/>
          <w:sz w:val="24"/>
        </w:rPr>
        <w:t>日</w:t>
      </w:r>
      <w:r>
        <w:rPr>
          <w:rFonts w:ascii="宋体" w:hAnsi="宋体" w:eastAsia="宋体" w:cs="宋体"/>
          <w:color w:val="auto"/>
          <w:sz w:val="24"/>
        </w:rPr>
        <w:t>内</w:t>
      </w:r>
      <w:r>
        <w:rPr>
          <w:rFonts w:hint="eastAsia" w:ascii="宋体" w:hAnsi="宋体" w:eastAsia="宋体" w:cs="宋体"/>
          <w:color w:val="auto"/>
          <w:sz w:val="24"/>
        </w:rPr>
        <w:t>，比选人</w:t>
      </w:r>
      <w:r>
        <w:rPr>
          <w:rFonts w:ascii="宋体" w:hAnsi="宋体" w:eastAsia="宋体" w:cs="宋体"/>
          <w:color w:val="auto"/>
          <w:sz w:val="24"/>
        </w:rPr>
        <w:t>与中选人订立书面合同。</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 xml:space="preserve">7.2 </w:t>
      </w:r>
      <w:r>
        <w:rPr>
          <w:rFonts w:hint="eastAsia" w:ascii="宋体" w:hAnsi="宋体" w:eastAsia="宋体" w:cs="宋体"/>
          <w:color w:val="auto"/>
          <w:sz w:val="24"/>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color w:val="auto"/>
          <w:sz w:val="24"/>
        </w:rPr>
      </w:pPr>
    </w:p>
    <w:p>
      <w:pPr>
        <w:keepNext/>
        <w:keepLines/>
        <w:spacing w:line="360" w:lineRule="auto"/>
        <w:jc w:val="center"/>
        <w:rPr>
          <w:rFonts w:ascii="宋体" w:hAnsi="宋体" w:eastAsia="宋体" w:cs="宋体"/>
          <w:b/>
          <w:color w:val="auto"/>
          <w:sz w:val="44"/>
        </w:rPr>
      </w:pP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4"/>
        <w:jc w:val="center"/>
        <w:rPr>
          <w:rFonts w:ascii="华文中宋" w:hAnsi="华文中宋" w:eastAsia="华文中宋" w:cs="宋体"/>
          <w:b w:val="0"/>
          <w:color w:val="auto"/>
        </w:rPr>
      </w:pPr>
      <w:bookmarkStart w:id="3" w:name="_Toc68619133"/>
      <w:bookmarkStart w:id="4" w:name="_Toc66971933"/>
      <w:r>
        <w:rPr>
          <w:rFonts w:ascii="华文中宋" w:hAnsi="华文中宋" w:eastAsia="华文中宋" w:cs="宋体"/>
          <w:b w:val="0"/>
          <w:color w:val="auto"/>
        </w:rPr>
        <w:t>第二章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比选申请书</w:t>
      </w:r>
      <w:bookmarkEnd w:id="3"/>
      <w:bookmarkEnd w:id="4"/>
    </w:p>
    <w:p>
      <w:pPr>
        <w:spacing w:line="360" w:lineRule="auto"/>
        <w:jc w:val="center"/>
        <w:rPr>
          <w:rFonts w:ascii="Times New Roman" w:hAnsi="Times New Roman" w:eastAsia="Times New Roman" w:cs="Times New Roman"/>
          <w:color w:val="auto"/>
          <w:sz w:val="24"/>
        </w:rPr>
      </w:pP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spacing w:line="360" w:lineRule="auto"/>
        <w:jc w:val="left"/>
        <w:rPr>
          <w:rFonts w:ascii="Times New Roman" w:hAnsi="Times New Roman" w:eastAsia="Times New Roman" w:cs="Times New Roman"/>
          <w:color w:val="auto"/>
          <w:sz w:val="24"/>
        </w:rPr>
      </w:pPr>
    </w:p>
    <w:p>
      <w:pPr>
        <w:spacing w:line="360" w:lineRule="auto"/>
        <w:jc w:val="center"/>
        <w:rPr>
          <w:rFonts w:ascii="Times New Roman" w:hAnsi="Times New Roman" w:eastAsia="Times New Roman" w:cs="Times New Roman"/>
          <w:b/>
          <w:color w:val="auto"/>
          <w:sz w:val="32"/>
        </w:rPr>
      </w:pPr>
    </w:p>
    <w:p>
      <w:pPr>
        <w:spacing w:line="360" w:lineRule="auto"/>
        <w:jc w:val="center"/>
        <w:rPr>
          <w:rFonts w:ascii="Times New Roman" w:hAnsi="Times New Roman" w:eastAsia="Times New Roman" w:cs="Times New Roman"/>
          <w:b/>
          <w:color w:val="auto"/>
          <w:sz w:val="48"/>
        </w:rPr>
      </w:pPr>
    </w:p>
    <w:p>
      <w:pPr>
        <w:widowControl/>
        <w:jc w:val="left"/>
        <w:rPr>
          <w:rFonts w:ascii="宋体" w:hAnsi="宋体" w:eastAsia="宋体" w:cs="宋体"/>
          <w:b/>
          <w:color w:val="auto"/>
          <w:sz w:val="48"/>
        </w:rPr>
      </w:pPr>
      <w:r>
        <w:rPr>
          <w:rFonts w:ascii="宋体" w:hAnsi="宋体" w:eastAsia="宋体" w:cs="宋体"/>
          <w:b/>
          <w:color w:val="auto"/>
          <w:sz w:val="48"/>
        </w:rPr>
        <w:br w:type="page"/>
      </w:r>
    </w:p>
    <w:p>
      <w:pPr>
        <w:spacing w:line="360" w:lineRule="auto"/>
        <w:jc w:val="center"/>
        <w:rPr>
          <w:rFonts w:ascii="华文中宋" w:hAnsi="华文中宋" w:eastAsia="华文中宋" w:cs="宋体"/>
          <w:b/>
          <w:color w:val="auto"/>
          <w:sz w:val="44"/>
          <w:szCs w:val="44"/>
        </w:rPr>
      </w:pPr>
    </w:p>
    <w:p>
      <w:pPr>
        <w:spacing w:line="360" w:lineRule="auto"/>
        <w:jc w:val="center"/>
        <w:rPr>
          <w:rFonts w:ascii="华文中宋" w:hAnsi="华文中宋" w:eastAsia="华文中宋" w:cs="宋体"/>
          <w:b/>
          <w:color w:val="auto"/>
          <w:sz w:val="44"/>
          <w:szCs w:val="44"/>
        </w:rPr>
      </w:pPr>
      <w:r>
        <w:rPr>
          <w:rFonts w:hint="eastAsia" w:ascii="华文中宋" w:hAnsi="华文中宋" w:eastAsia="华文中宋" w:cs="宋体"/>
          <w:b/>
          <w:color w:val="auto"/>
          <w:sz w:val="44"/>
          <w:szCs w:val="44"/>
        </w:rPr>
        <w:t>XX项目</w:t>
      </w: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比</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选</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申</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请</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书</w:t>
      </w: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jc w:val="center"/>
        <w:rPr>
          <w:rFonts w:ascii="华文中宋" w:hAnsi="华文中宋" w:eastAsia="华文中宋" w:cs="Times New Roman"/>
          <w:b/>
          <w:bCs/>
          <w:color w:val="auto"/>
          <w:sz w:val="32"/>
        </w:rPr>
      </w:pPr>
      <w:r>
        <w:rPr>
          <w:rFonts w:ascii="华文中宋" w:hAnsi="华文中宋" w:eastAsia="华文中宋" w:cs="宋体"/>
          <w:b/>
          <w:bCs/>
          <w:color w:val="auto"/>
          <w:sz w:val="32"/>
        </w:rPr>
        <w:t>比选申请人：（全称并加盖单位公章）</w:t>
      </w:r>
    </w:p>
    <w:p>
      <w:pPr>
        <w:spacing w:line="360" w:lineRule="auto"/>
        <w:jc w:val="center"/>
        <w:rPr>
          <w:rFonts w:ascii="华文中宋" w:hAnsi="华文中宋" w:eastAsia="华文中宋" w:cs="Times New Roman"/>
          <w:b/>
          <w:bCs/>
          <w:color w:val="auto"/>
          <w:sz w:val="32"/>
        </w:rPr>
      </w:pPr>
      <w:r>
        <w:rPr>
          <w:rFonts w:hint="eastAsia" w:ascii="华文中宋" w:hAnsi="华文中宋" w:eastAsia="华文中宋" w:cs="宋体"/>
          <w:b/>
          <w:bCs/>
          <w:color w:val="auto"/>
          <w:sz w:val="32"/>
        </w:rPr>
        <w:t>X</w:t>
      </w:r>
      <w:r>
        <w:rPr>
          <w:rFonts w:ascii="华文中宋" w:hAnsi="华文中宋" w:eastAsia="华文中宋" w:cs="宋体"/>
          <w:b/>
          <w:bCs/>
          <w:color w:val="auto"/>
          <w:sz w:val="32"/>
        </w:rPr>
        <w:t>年</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月</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日</w:t>
      </w:r>
    </w:p>
    <w:p>
      <w:pPr>
        <w:spacing w:line="360" w:lineRule="auto"/>
        <w:jc w:val="center"/>
        <w:rPr>
          <w:rFonts w:ascii="华文中宋" w:hAnsi="华文中宋" w:eastAsia="华文中宋" w:cs="Cambria"/>
          <w:b/>
          <w:color w:val="auto"/>
          <w:sz w:val="32"/>
        </w:rPr>
      </w:pPr>
      <w:r>
        <w:rPr>
          <w:rFonts w:ascii="华文中宋" w:hAnsi="华文中宋" w:eastAsia="华文中宋" w:cs="Cambria"/>
          <w:b/>
          <w:color w:val="auto"/>
          <w:sz w:val="32"/>
        </w:rPr>
        <w:t xml:space="preserve"> </w:t>
      </w:r>
    </w:p>
    <w:p>
      <w:pPr>
        <w:spacing w:line="360" w:lineRule="auto"/>
        <w:jc w:val="center"/>
        <w:rPr>
          <w:rFonts w:ascii="Cambria" w:hAnsi="Cambria" w:cs="Cambria"/>
          <w:b/>
          <w:color w:val="auto"/>
          <w:sz w:val="32"/>
        </w:rPr>
      </w:pPr>
    </w:p>
    <w:p>
      <w:pPr>
        <w:spacing w:line="360" w:lineRule="auto"/>
        <w:jc w:val="center"/>
        <w:rPr>
          <w:rFonts w:ascii="Cambria" w:hAnsi="Cambria" w:cs="Cambria"/>
          <w:b/>
          <w:color w:val="auto"/>
          <w:sz w:val="32"/>
        </w:rPr>
      </w:pPr>
    </w:p>
    <w:p>
      <w:pPr>
        <w:widowControl/>
        <w:jc w:val="left"/>
        <w:rPr>
          <w:rFonts w:ascii="Cambria" w:hAnsi="Cambria" w:eastAsia="Cambria" w:cs="Cambria"/>
          <w:b/>
          <w:color w:val="auto"/>
          <w:sz w:val="32"/>
        </w:rPr>
      </w:pPr>
      <w:r>
        <w:rPr>
          <w:rFonts w:ascii="Cambria" w:hAnsi="Cambria" w:eastAsia="Cambria" w:cs="Cambria"/>
          <w:b/>
          <w:color w:val="auto"/>
          <w:sz w:val="32"/>
        </w:rPr>
        <w:br w:type="page"/>
      </w:r>
    </w:p>
    <w:p>
      <w:pPr>
        <w:pStyle w:val="5"/>
        <w:rPr>
          <w:rFonts w:ascii="华文中宋" w:hAnsi="华文中宋" w:eastAsia="华文中宋" w:cs="宋体"/>
          <w:bCs w:val="0"/>
          <w:color w:val="auto"/>
        </w:rPr>
      </w:pPr>
      <w:r>
        <w:rPr>
          <w:rFonts w:ascii="华文中宋" w:hAnsi="华文中宋" w:eastAsia="华文中宋" w:cs="宋体"/>
          <w:bCs w:val="0"/>
          <w:color w:val="auto"/>
        </w:rPr>
        <w:t>1、</w:t>
      </w:r>
      <w:r>
        <w:rPr>
          <w:rFonts w:hint="eastAsia" w:ascii="华文中宋" w:hAnsi="华文中宋" w:eastAsia="华文中宋" w:cs="宋体"/>
          <w:bCs w:val="0"/>
          <w:color w:val="auto"/>
        </w:rPr>
        <w:t>法定代表人/单位负责人</w:t>
      </w:r>
      <w:r>
        <w:rPr>
          <w:rFonts w:ascii="华文中宋" w:hAnsi="华文中宋" w:eastAsia="华文中宋" w:cs="宋体"/>
          <w:bCs w:val="0"/>
          <w:color w:val="auto"/>
        </w:rPr>
        <w:t>授权书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（适用于非法定代表人直接参与）</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本授权委托书声明：我</w:t>
      </w:r>
      <w:r>
        <w:rPr>
          <w:rFonts w:cs="宋体" w:asciiTheme="minorEastAsia" w:hAnsiTheme="minorEastAsia"/>
          <w:color w:val="auto"/>
          <w:sz w:val="24"/>
          <w:szCs w:val="24"/>
          <w:u w:val="single"/>
        </w:rPr>
        <w:t>（姓名）</w:t>
      </w:r>
      <w:r>
        <w:rPr>
          <w:rFonts w:cs="宋体" w:asciiTheme="minorEastAsia" w:hAnsiTheme="minorEastAsia"/>
          <w:color w:val="auto"/>
          <w:sz w:val="24"/>
          <w:szCs w:val="24"/>
        </w:rPr>
        <w:t>系</w:t>
      </w:r>
      <w:r>
        <w:rPr>
          <w:rFonts w:cs="宋体" w:asciiTheme="minorEastAsia" w:hAnsiTheme="minorEastAsia"/>
          <w:color w:val="auto"/>
          <w:sz w:val="24"/>
          <w:szCs w:val="24"/>
          <w:u w:val="single"/>
        </w:rPr>
        <w:t>（比选申请人名称）</w:t>
      </w:r>
      <w:r>
        <w:rPr>
          <w:rFonts w:cs="宋体" w:asciiTheme="minorEastAsia" w:hAnsiTheme="minorEastAsia"/>
          <w:color w:val="auto"/>
          <w:sz w:val="24"/>
          <w:szCs w:val="24"/>
        </w:rPr>
        <w:t>的法定代表人，现授权</w:t>
      </w:r>
      <w:r>
        <w:rPr>
          <w:rFonts w:cs="宋体" w:asciiTheme="minorEastAsia" w:hAnsiTheme="minorEastAsia"/>
          <w:color w:val="auto"/>
          <w:sz w:val="24"/>
          <w:szCs w:val="24"/>
          <w:u w:val="single"/>
        </w:rPr>
        <w:t>（姓名）</w:t>
      </w:r>
      <w:r>
        <w:rPr>
          <w:rFonts w:cs="宋体" w:asciiTheme="minorEastAsia" w:hAnsiTheme="minorEastAsia"/>
          <w:color w:val="auto"/>
          <w:sz w:val="24"/>
          <w:szCs w:val="24"/>
        </w:rPr>
        <w:t>为我单位委托代理人，以本单位的名义参加</w:t>
      </w:r>
      <w:r>
        <w:rPr>
          <w:rFonts w:cs="宋体" w:asciiTheme="minorEastAsia" w:hAnsiTheme="minorEastAsia"/>
          <w:color w:val="auto"/>
          <w:sz w:val="24"/>
          <w:szCs w:val="24"/>
          <w:u w:val="single"/>
        </w:rPr>
        <w:t>（项目名称）</w:t>
      </w:r>
      <w:r>
        <w:rPr>
          <w:rFonts w:cs="宋体" w:asciiTheme="minorEastAsia" w:hAnsiTheme="minorEastAsia"/>
          <w:color w:val="auto"/>
          <w:sz w:val="24"/>
          <w:szCs w:val="24"/>
        </w:rPr>
        <w:t>的比选活动。委托代理人在比选活动的合法代表，以我方名义全权处理该项目有关比选、签订合同以及执行合同等一切事宜。</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委托代理人无转委托权。特此委托。</w:t>
      </w: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授权人</w:t>
      </w:r>
      <w:r>
        <w:rPr>
          <w:rFonts w:cs="Times New Roman" w:asciiTheme="minorEastAsia" w:hAnsiTheme="minorEastAsia"/>
          <w:color w:val="auto"/>
          <w:sz w:val="24"/>
          <w:szCs w:val="24"/>
        </w:rPr>
        <w:t>(</w:t>
      </w:r>
      <w:r>
        <w:rPr>
          <w:rFonts w:cs="宋体" w:asciiTheme="minorEastAsia" w:hAnsiTheme="minorEastAsia"/>
          <w:color w:val="auto"/>
          <w:sz w:val="24"/>
          <w:szCs w:val="24"/>
        </w:rPr>
        <w:t>法定代表人</w:t>
      </w:r>
      <w:r>
        <w:rPr>
          <w:rFonts w:cs="Times New Roman" w:asciiTheme="minorEastAsia" w:hAnsiTheme="minorEastAsia"/>
          <w:color w:val="auto"/>
          <w:sz w:val="24"/>
          <w:szCs w:val="24"/>
        </w:rPr>
        <w:t>):</w:t>
      </w:r>
      <w:r>
        <w:rPr>
          <w:rFonts w:cs="宋体" w:asciiTheme="minorEastAsia" w:hAnsiTheme="minorEastAsia"/>
          <w:color w:val="auto"/>
          <w:sz w:val="24"/>
          <w:szCs w:val="24"/>
          <w:u w:val="single"/>
        </w:rPr>
        <w:t>（签字）</w:t>
      </w:r>
      <w:r>
        <w:rPr>
          <w:rFonts w:cs="宋体" w:asciiTheme="minorEastAsia" w:hAnsiTheme="minorEastAsia"/>
          <w:color w:val="auto"/>
          <w:sz w:val="24"/>
          <w:szCs w:val="24"/>
        </w:rPr>
        <w:t>联系电话：</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w:t>
      </w:r>
      <w:r>
        <w:rPr>
          <w:rFonts w:cs="宋体" w:asciiTheme="minorEastAsia" w:hAnsiTheme="minorEastAsia"/>
          <w:color w:val="auto"/>
          <w:sz w:val="24"/>
          <w:szCs w:val="24"/>
          <w:u w:val="single"/>
        </w:rPr>
        <w:t>（签字）</w:t>
      </w:r>
      <w:r>
        <w:rPr>
          <w:rFonts w:cs="宋体" w:asciiTheme="minorEastAsia" w:hAnsiTheme="minorEastAsia"/>
          <w:color w:val="auto"/>
          <w:sz w:val="24"/>
          <w:szCs w:val="24"/>
        </w:rPr>
        <w:t>手机：</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委托代理人部门：职务：</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单位电话：传真：</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比选申请人：</w:t>
      </w:r>
      <w:r>
        <w:rPr>
          <w:rFonts w:cs="宋体" w:asciiTheme="minorEastAsia" w:hAnsiTheme="minorEastAsia"/>
          <w:color w:val="auto"/>
          <w:sz w:val="24"/>
          <w:szCs w:val="24"/>
          <w:u w:val="single"/>
        </w:rPr>
        <w:t>（全称并加盖公章）</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日期：年月日</w:t>
      </w:r>
    </w:p>
    <w:p>
      <w:pPr>
        <w:spacing w:before="80" w:after="80" w:line="360" w:lineRule="auto"/>
        <w:jc w:val="left"/>
        <w:rPr>
          <w:rFonts w:cs="Times New Roman" w:asciiTheme="minorEastAsia" w:hAnsiTheme="minorEastAsia"/>
          <w:color w:val="auto"/>
          <w:sz w:val="24"/>
          <w:szCs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（须附法定代表人和授权代表身份证复印件）</w:t>
      </w: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5"/>
        <w:rPr>
          <w:rFonts w:ascii="华文中宋" w:hAnsi="华文中宋" w:eastAsia="华文中宋" w:cs="宋体"/>
          <w:bCs w:val="0"/>
          <w:color w:val="auto"/>
        </w:rPr>
      </w:pPr>
      <w:r>
        <w:rPr>
          <w:rFonts w:hint="eastAsia" w:ascii="华文中宋" w:hAnsi="华文中宋" w:eastAsia="华文中宋" w:cs="宋体"/>
          <w:bCs w:val="0"/>
          <w:color w:val="auto"/>
        </w:rPr>
        <w:t>法定代表人/单位负责人证明书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（适用于法定代表人/单位负责人直接参与）</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比选申请人单位名称：</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单位性质：</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成立时间：年月日</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经营期限：</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姓名：性别：年龄：职务：</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系（比选申请人名称）的法定代表人/单位负责人。</w:t>
      </w:r>
    </w:p>
    <w:p>
      <w:pPr>
        <w:spacing w:before="80" w:after="80" w:line="360" w:lineRule="auto"/>
        <w:ind w:firstLine="960" w:firstLineChars="400"/>
        <w:rPr>
          <w:rFonts w:ascii="宋体" w:hAnsi="宋体" w:eastAsia="宋体" w:cs="Times New Roman"/>
          <w:color w:val="auto"/>
          <w:sz w:val="24"/>
          <w:szCs w:val="24"/>
        </w:rPr>
      </w:pPr>
    </w:p>
    <w:p>
      <w:pPr>
        <w:spacing w:before="80" w:after="8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特此证明。</w:t>
      </w:r>
    </w:p>
    <w:p>
      <w:pPr>
        <w:spacing w:before="80" w:after="80" w:line="360" w:lineRule="auto"/>
        <w:ind w:firstLine="480" w:firstLineChars="200"/>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w:t>
      </w:r>
      <w:r>
        <w:rPr>
          <w:rFonts w:hint="eastAsia" w:ascii="宋体" w:hAnsi="宋体" w:eastAsia="宋体" w:cs="Times New Roman"/>
          <w:color w:val="auto"/>
          <w:sz w:val="24"/>
          <w:szCs w:val="24"/>
          <w:u w:val="single"/>
        </w:rPr>
        <w:t xml:space="preserve">（单位公章）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r>
        <w:rPr>
          <w:rFonts w:hint="eastAsia" w:ascii="宋体" w:hAnsi="宋体" w:eastAsia="宋体" w:cs="Times New Roman"/>
          <w:color w:val="auto"/>
          <w:sz w:val="24"/>
          <w:szCs w:val="24"/>
        </w:rPr>
        <w:t>日    期：</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p>
    <w:p>
      <w:pPr>
        <w:spacing w:before="80" w:after="80"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注：1、比选申请人为法人单位时提供“法定代表人证明书”，比选申请人为其他组织时提供“单位负责人证明书”。</w:t>
      </w:r>
    </w:p>
    <w:p>
      <w:pPr>
        <w:spacing w:before="80" w:after="80"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2</w:t>
      </w:r>
      <w:r>
        <w:rPr>
          <w:rFonts w:hint="eastAsia" w:ascii="宋体" w:hAnsi="宋体" w:eastAsia="宋体" w:cs="Times New Roman"/>
          <w:b/>
          <w:color w:val="auto"/>
          <w:sz w:val="24"/>
          <w:szCs w:val="24"/>
        </w:rPr>
        <w:t>、法定代表人/单位负责人直接参与比选并签署响应文件时才须提供；</w:t>
      </w:r>
    </w:p>
    <w:p>
      <w:pPr>
        <w:spacing w:before="80" w:after="80"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eastAsia" w:ascii="宋体" w:hAnsi="宋体" w:eastAsia="宋体" w:cs="Times New Roman"/>
          <w:b/>
          <w:color w:val="auto"/>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cs="Times New Roman" w:asciiTheme="minorEastAsia" w:hAnsiTheme="minorEastAsia"/>
          <w:color w:val="auto"/>
          <w:sz w:val="24"/>
          <w:szCs w:val="24"/>
        </w:rPr>
      </w:pPr>
    </w:p>
    <w:p>
      <w:pPr>
        <w:spacing w:line="360" w:lineRule="auto"/>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14"/>
        <w:tabs>
          <w:tab w:val="left" w:pos="0"/>
        </w:tabs>
        <w:jc w:val="center"/>
        <w:rPr>
          <w:rFonts w:hint="eastAsia"/>
          <w:b/>
          <w:color w:val="auto"/>
          <w:sz w:val="32"/>
          <w:szCs w:val="32"/>
        </w:rPr>
      </w:pPr>
      <w:r>
        <w:rPr>
          <w:rFonts w:hint="eastAsia" w:ascii="黑体" w:eastAsia="黑体"/>
          <w:b/>
          <w:color w:val="auto"/>
          <w:sz w:val="28"/>
          <w:szCs w:val="28"/>
          <w:lang w:val="en-US" w:eastAsia="zh-CN"/>
        </w:rPr>
        <w:t>2</w:t>
      </w:r>
      <w:r>
        <w:rPr>
          <w:rFonts w:hint="eastAsia" w:ascii="黑体" w:eastAsia="黑体"/>
          <w:b/>
          <w:color w:val="auto"/>
          <w:sz w:val="28"/>
          <w:szCs w:val="28"/>
        </w:rPr>
        <w:t>、商务应答表</w:t>
      </w:r>
    </w:p>
    <w:p>
      <w:pPr>
        <w:ind w:firstLine="440" w:firstLineChars="200"/>
        <w:rPr>
          <w:rFonts w:hint="eastAsia" w:ascii="宋体" w:hAnsi="宋体"/>
          <w:color w:val="auto"/>
          <w:sz w:val="22"/>
          <w:szCs w:val="22"/>
        </w:rPr>
      </w:pPr>
      <w:r>
        <w:rPr>
          <w:rFonts w:hint="eastAsia" w:ascii="宋体" w:hAnsi="宋体"/>
          <w:color w:val="auto"/>
          <w:sz w:val="22"/>
          <w:szCs w:val="22"/>
        </w:rPr>
        <w:t xml:space="preserve">项目名称：                                  </w:t>
      </w:r>
    </w:p>
    <w:p>
      <w:pPr>
        <w:ind w:firstLine="440" w:firstLineChars="200"/>
        <w:rPr>
          <w:rFonts w:hint="eastAsia" w:ascii="宋体" w:hAnsi="宋体"/>
          <w:color w:val="auto"/>
          <w:sz w:val="22"/>
          <w:szCs w:val="22"/>
        </w:rPr>
      </w:pPr>
      <w:r>
        <w:rPr>
          <w:rFonts w:hint="eastAsia" w:ascii="宋体" w:hAnsi="宋体"/>
          <w:color w:val="auto"/>
          <w:sz w:val="22"/>
          <w:szCs w:val="22"/>
        </w:rPr>
        <w:t>项目编号：</w:t>
      </w:r>
    </w:p>
    <w:p>
      <w:pPr>
        <w:pStyle w:val="17"/>
        <w:pBdr>
          <w:bottom w:val="none" w:color="auto" w:sz="0" w:space="0"/>
        </w:pBdr>
        <w:tabs>
          <w:tab w:val="clear" w:pos="4153"/>
          <w:tab w:val="clear" w:pos="8306"/>
        </w:tabs>
        <w:snapToGrid/>
        <w:ind w:firstLine="4800" w:firstLineChars="2000"/>
        <w:jc w:val="both"/>
        <w:rPr>
          <w:rFonts w:hint="eastAsia" w:ascii="宋体" w:hAnsi="宋体" w:eastAsiaTheme="minorEastAsia"/>
          <w:sz w:val="24"/>
          <w:szCs w:val="24"/>
          <w:lang w:val="en-US" w:eastAsia="zh-CN"/>
        </w:rPr>
      </w:pPr>
      <w:r>
        <w:rPr>
          <w:rFonts w:hint="eastAsia" w:ascii="宋体" w:hAnsi="宋体"/>
          <w:sz w:val="24"/>
          <w:szCs w:val="24"/>
          <w:lang w:val="en-US" w:eastAsia="zh-CN"/>
        </w:rPr>
        <w:t>报价表</w:t>
      </w:r>
    </w:p>
    <w:tbl>
      <w:tblPr>
        <w:tblStyle w:val="21"/>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114"/>
        <w:gridCol w:w="1661"/>
        <w:gridCol w:w="1371"/>
        <w:gridCol w:w="164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8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zh-CN" w:eastAsia="zh-CN" w:bidi="ar-SA"/>
              </w:rPr>
            </w:pPr>
            <w:r>
              <w:rPr>
                <w:rFonts w:hint="eastAsia" w:ascii="宋体" w:hAnsi="宋体" w:eastAsia="宋体" w:cs="宋体"/>
                <w:i w:val="0"/>
                <w:iCs w:val="0"/>
                <w:color w:val="auto"/>
                <w:kern w:val="0"/>
                <w:sz w:val="22"/>
                <w:szCs w:val="22"/>
                <w:u w:val="none"/>
                <w:lang w:val="en-US" w:eastAsia="zh-CN" w:bidi="ar"/>
              </w:rPr>
              <w:t>序号</w:t>
            </w:r>
          </w:p>
        </w:tc>
        <w:tc>
          <w:tcPr>
            <w:tcW w:w="12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zh-CN" w:eastAsia="zh-CN" w:bidi="ar-SA"/>
              </w:rPr>
            </w:pPr>
            <w:r>
              <w:rPr>
                <w:rFonts w:hint="eastAsia" w:ascii="宋体" w:hAnsi="宋体" w:eastAsia="宋体" w:cs="宋体"/>
                <w:i w:val="0"/>
                <w:iCs w:val="0"/>
                <w:color w:val="auto"/>
                <w:kern w:val="0"/>
                <w:sz w:val="22"/>
                <w:szCs w:val="22"/>
                <w:u w:val="none"/>
                <w:lang w:val="en-US" w:eastAsia="zh-CN" w:bidi="ar"/>
              </w:rPr>
              <w:t>名 称</w:t>
            </w:r>
          </w:p>
        </w:tc>
        <w:tc>
          <w:tcPr>
            <w:tcW w:w="111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标准</w:t>
            </w:r>
          </w:p>
        </w:tc>
        <w:tc>
          <w:tcPr>
            <w:tcW w:w="16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zh-CN" w:eastAsia="zh-CN" w:bidi="ar-SA"/>
              </w:rPr>
            </w:pPr>
            <w:r>
              <w:rPr>
                <w:rFonts w:hint="eastAsia" w:ascii="宋体" w:hAnsi="宋体" w:eastAsia="宋体" w:cs="宋体"/>
                <w:i w:val="0"/>
                <w:iCs w:val="0"/>
                <w:color w:val="auto"/>
                <w:kern w:val="0"/>
                <w:sz w:val="22"/>
                <w:szCs w:val="22"/>
                <w:u w:val="none"/>
                <w:lang w:val="en-US" w:eastAsia="zh-CN" w:bidi="ar"/>
              </w:rPr>
              <w:t>单位（克）</w:t>
            </w:r>
          </w:p>
        </w:tc>
        <w:tc>
          <w:tcPr>
            <w:tcW w:w="13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zh-CN" w:eastAsia="zh-CN" w:bidi="ar-SA"/>
              </w:rPr>
            </w:pPr>
            <w:r>
              <w:rPr>
                <w:rFonts w:hint="eastAsia" w:ascii="宋体" w:hAnsi="宋体" w:eastAsia="宋体" w:cs="宋体"/>
                <w:i w:val="0"/>
                <w:iCs w:val="0"/>
                <w:color w:val="auto"/>
                <w:kern w:val="0"/>
                <w:sz w:val="22"/>
                <w:szCs w:val="22"/>
                <w:u w:val="none"/>
                <w:lang w:val="en-US" w:eastAsia="zh-CN" w:bidi="ar"/>
              </w:rPr>
              <w:t>报价（元）</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zh-CN" w:eastAsia="zh-CN" w:bidi="ar-SA"/>
              </w:rPr>
            </w:pPr>
            <w:r>
              <w:rPr>
                <w:rFonts w:hint="eastAsia" w:ascii="宋体" w:hAnsi="宋体" w:eastAsia="宋体" w:cs="宋体"/>
                <w:i w:val="0"/>
                <w:iCs w:val="0"/>
                <w:color w:val="auto"/>
                <w:kern w:val="0"/>
                <w:sz w:val="22"/>
                <w:szCs w:val="22"/>
                <w:u w:val="none"/>
                <w:lang w:val="en-US" w:eastAsia="zh-CN" w:bidi="ar"/>
              </w:rPr>
              <w:t>生产企业</w:t>
            </w:r>
          </w:p>
        </w:tc>
        <w:tc>
          <w:tcPr>
            <w:tcW w:w="1212" w:type="dxa"/>
            <w:noWrap w:val="0"/>
            <w:vAlign w:val="center"/>
          </w:tcPr>
          <w:p>
            <w:pPr>
              <w:pStyle w:val="2"/>
              <w:rPr>
                <w:rFonts w:hint="eastAsia" w:ascii="宋体" w:hAnsi="宋体" w:cs="宋体"/>
                <w:color w:val="auto"/>
                <w:sz w:val="24"/>
                <w:lang w:val="zh-CN" w:eastAsia="zh-CN"/>
              </w:rPr>
            </w:pPr>
          </w:p>
          <w:p>
            <w:pPr>
              <w:pStyle w:val="2"/>
              <w:ind w:firstLine="240" w:firstLineChars="100"/>
              <w:rPr>
                <w:rFonts w:hint="eastAsia" w:ascii="宋体" w:hAnsi="宋体" w:cs="宋体"/>
                <w:color w:val="auto"/>
                <w:sz w:val="24"/>
                <w:lang w:val="zh-CN" w:eastAsia="zh-CN"/>
              </w:rPr>
            </w:pPr>
            <w:r>
              <w:rPr>
                <w:rFonts w:hint="eastAsia" w:ascii="宋体" w:hAnsi="宋体" w:cs="宋体"/>
                <w:color w:val="auto"/>
                <w:sz w:val="24"/>
                <w:lang w:val="zh-CN" w:eastAsia="zh-CN"/>
              </w:rPr>
              <w:t>备</w:t>
            </w:r>
            <w:r>
              <w:rPr>
                <w:rFonts w:hint="eastAsia" w:ascii="宋体" w:hAnsi="宋体" w:cs="宋体"/>
                <w:color w:val="auto"/>
                <w:sz w:val="24"/>
                <w:lang w:val="en-US" w:eastAsia="zh-CN"/>
              </w:rPr>
              <w:t xml:space="preserve"> </w:t>
            </w:r>
            <w:r>
              <w:rPr>
                <w:rFonts w:hint="eastAsia" w:ascii="宋体" w:hAnsi="宋体" w:cs="宋体"/>
                <w:color w:val="auto"/>
                <w:sz w:val="24"/>
                <w:lang w:val="zh-CN" w:eastAsia="zh-CN"/>
              </w:rPr>
              <w:t>注</w:t>
            </w:r>
          </w:p>
          <w:p>
            <w:pPr>
              <w:pStyle w:val="2"/>
              <w:rPr>
                <w:rFonts w:hint="eastAsia" w:ascii="宋体" w:hAnsi="宋体" w:cs="宋体"/>
                <w:color w:val="auto"/>
                <w:sz w:val="24"/>
                <w:lang w:val="zh-CN" w:eastAsia="zh-CN"/>
              </w:rPr>
            </w:pPr>
            <w:r>
              <w:rPr>
                <w:rFonts w:hint="eastAsia" w:ascii="宋体" w:hAnsi="宋体" w:cs="宋体"/>
                <w:color w:val="auto"/>
                <w:sz w:val="24"/>
                <w:lang w:val="zh-CN" w:eastAsia="zh-CN"/>
              </w:rPr>
              <w:t>（</w:t>
            </w:r>
            <w:r>
              <w:rPr>
                <w:rFonts w:hint="eastAsia" w:ascii="宋体" w:hAnsi="宋体" w:cs="宋体"/>
                <w:color w:val="auto"/>
                <w:sz w:val="24"/>
                <w:lang w:val="en-US" w:eastAsia="zh-CN"/>
              </w:rPr>
              <w:t>产地</w:t>
            </w:r>
            <w:r>
              <w:rPr>
                <w:rFonts w:hint="eastAsia" w:ascii="宋体" w:hAnsi="宋体" w:cs="宋体"/>
                <w:color w:val="auto"/>
                <w:sz w:val="24"/>
                <w:lang w:val="zh-CN" w:eastAsia="zh-CN"/>
              </w:rPr>
              <w:t>）</w:t>
            </w:r>
          </w:p>
          <w:p>
            <w:pPr>
              <w:pStyle w:val="2"/>
              <w:rPr>
                <w:rFonts w:hint="eastAsia" w:ascii="宋体" w:hAnsi="宋体" w:cs="宋体"/>
                <w:color w:val="auto"/>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77" w:type="dxa"/>
            <w:noWrap w:val="0"/>
            <w:vAlign w:val="center"/>
          </w:tcPr>
          <w:p>
            <w:pPr>
              <w:pStyle w:val="2"/>
              <w:jc w:val="center"/>
              <w:rPr>
                <w:rFonts w:hint="eastAsia" w:ascii="宋体" w:hAnsi="宋体" w:cs="宋体"/>
                <w:color w:val="auto"/>
                <w:sz w:val="24"/>
                <w:lang w:val="zh-CN" w:eastAsia="zh-CN"/>
              </w:rPr>
            </w:pPr>
            <w:r>
              <w:rPr>
                <w:rFonts w:hint="eastAsia" w:ascii="宋体" w:hAnsi="宋体" w:cs="宋体"/>
                <w:color w:val="auto"/>
                <w:sz w:val="24"/>
                <w:lang w:val="zh-CN" w:eastAsia="zh-CN"/>
              </w:rPr>
              <w:t>1</w:t>
            </w:r>
          </w:p>
        </w:tc>
        <w:tc>
          <w:tcPr>
            <w:tcW w:w="1275" w:type="dxa"/>
            <w:noWrap w:val="0"/>
            <w:vAlign w:val="center"/>
          </w:tcPr>
          <w:p>
            <w:pPr>
              <w:pStyle w:val="2"/>
              <w:rPr>
                <w:rFonts w:hint="eastAsia" w:ascii="宋体" w:hAnsi="宋体" w:cs="宋体"/>
                <w:color w:val="auto"/>
                <w:sz w:val="24"/>
                <w:lang w:val="zh-CN" w:eastAsia="zh-CN"/>
              </w:rPr>
            </w:pPr>
          </w:p>
        </w:tc>
        <w:tc>
          <w:tcPr>
            <w:tcW w:w="1114" w:type="dxa"/>
            <w:noWrap w:val="0"/>
            <w:vAlign w:val="center"/>
          </w:tcPr>
          <w:p>
            <w:pPr>
              <w:pStyle w:val="2"/>
              <w:rPr>
                <w:rFonts w:hint="eastAsia" w:ascii="宋体" w:hAnsi="宋体" w:cs="宋体"/>
                <w:color w:val="auto"/>
                <w:sz w:val="24"/>
                <w:lang w:val="zh-CN" w:eastAsia="zh-CN"/>
              </w:rPr>
            </w:pPr>
          </w:p>
        </w:tc>
        <w:tc>
          <w:tcPr>
            <w:tcW w:w="1661" w:type="dxa"/>
            <w:noWrap w:val="0"/>
            <w:vAlign w:val="center"/>
          </w:tcPr>
          <w:p>
            <w:pPr>
              <w:pStyle w:val="2"/>
              <w:rPr>
                <w:rFonts w:hint="eastAsia" w:ascii="宋体" w:hAnsi="宋体" w:cs="宋体"/>
                <w:color w:val="auto"/>
                <w:sz w:val="24"/>
                <w:lang w:val="zh-CN" w:eastAsia="zh-CN"/>
              </w:rPr>
            </w:pPr>
          </w:p>
        </w:tc>
        <w:tc>
          <w:tcPr>
            <w:tcW w:w="1371" w:type="dxa"/>
            <w:noWrap w:val="0"/>
            <w:vAlign w:val="center"/>
          </w:tcPr>
          <w:p>
            <w:pPr>
              <w:pStyle w:val="2"/>
              <w:rPr>
                <w:rFonts w:hint="eastAsia" w:ascii="宋体" w:hAnsi="宋体" w:cs="宋体"/>
                <w:color w:val="auto"/>
                <w:sz w:val="24"/>
                <w:lang w:val="zh-CN" w:eastAsia="zh-CN"/>
              </w:rPr>
            </w:pPr>
          </w:p>
        </w:tc>
        <w:tc>
          <w:tcPr>
            <w:tcW w:w="1644" w:type="dxa"/>
            <w:noWrap w:val="0"/>
            <w:vAlign w:val="center"/>
          </w:tcPr>
          <w:p>
            <w:pPr>
              <w:pStyle w:val="2"/>
              <w:rPr>
                <w:rFonts w:hint="eastAsia" w:ascii="宋体" w:hAnsi="宋体" w:cs="宋体"/>
                <w:color w:val="auto"/>
                <w:sz w:val="24"/>
                <w:lang w:val="zh-CN" w:eastAsia="zh-CN"/>
              </w:rPr>
            </w:pPr>
          </w:p>
        </w:tc>
        <w:tc>
          <w:tcPr>
            <w:tcW w:w="1212" w:type="dxa"/>
            <w:noWrap w:val="0"/>
            <w:vAlign w:val="center"/>
          </w:tcPr>
          <w:p>
            <w:pPr>
              <w:pStyle w:val="2"/>
              <w:rPr>
                <w:rFonts w:hint="eastAsia" w:ascii="宋体" w:hAnsi="宋体" w:cs="宋体"/>
                <w:color w:val="auto"/>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77" w:type="dxa"/>
            <w:noWrap w:val="0"/>
            <w:vAlign w:val="center"/>
          </w:tcPr>
          <w:p>
            <w:pPr>
              <w:pStyle w:val="2"/>
              <w:jc w:val="center"/>
              <w:rPr>
                <w:rFonts w:hint="eastAsia" w:ascii="宋体" w:hAnsi="宋体" w:cs="宋体"/>
                <w:color w:val="auto"/>
                <w:sz w:val="24"/>
                <w:lang w:val="zh-CN" w:eastAsia="zh-CN"/>
              </w:rPr>
            </w:pPr>
            <w:r>
              <w:rPr>
                <w:rFonts w:hint="eastAsia" w:ascii="宋体" w:hAnsi="宋体" w:cs="宋体"/>
                <w:color w:val="auto"/>
                <w:sz w:val="24"/>
                <w:lang w:val="zh-CN" w:eastAsia="zh-CN"/>
              </w:rPr>
              <w:t>2</w:t>
            </w:r>
          </w:p>
        </w:tc>
        <w:tc>
          <w:tcPr>
            <w:tcW w:w="1275" w:type="dxa"/>
            <w:noWrap w:val="0"/>
            <w:vAlign w:val="center"/>
          </w:tcPr>
          <w:p>
            <w:pPr>
              <w:pStyle w:val="2"/>
              <w:rPr>
                <w:rFonts w:hint="eastAsia" w:ascii="宋体" w:hAnsi="宋体" w:cs="宋体"/>
                <w:color w:val="auto"/>
                <w:sz w:val="24"/>
                <w:lang w:val="zh-CN" w:eastAsia="zh-CN"/>
              </w:rPr>
            </w:pPr>
          </w:p>
        </w:tc>
        <w:tc>
          <w:tcPr>
            <w:tcW w:w="1114" w:type="dxa"/>
            <w:noWrap w:val="0"/>
            <w:vAlign w:val="center"/>
          </w:tcPr>
          <w:p>
            <w:pPr>
              <w:pStyle w:val="2"/>
              <w:rPr>
                <w:rFonts w:hint="eastAsia" w:ascii="宋体" w:hAnsi="宋体" w:cs="宋体"/>
                <w:color w:val="auto"/>
                <w:sz w:val="24"/>
                <w:lang w:val="zh-CN" w:eastAsia="zh-CN"/>
              </w:rPr>
            </w:pPr>
          </w:p>
        </w:tc>
        <w:tc>
          <w:tcPr>
            <w:tcW w:w="1661" w:type="dxa"/>
            <w:noWrap w:val="0"/>
            <w:vAlign w:val="center"/>
          </w:tcPr>
          <w:p>
            <w:pPr>
              <w:pStyle w:val="2"/>
              <w:rPr>
                <w:rFonts w:hint="eastAsia" w:ascii="宋体" w:hAnsi="宋体" w:cs="宋体"/>
                <w:color w:val="auto"/>
                <w:sz w:val="24"/>
                <w:lang w:val="zh-CN" w:eastAsia="zh-CN"/>
              </w:rPr>
            </w:pPr>
          </w:p>
        </w:tc>
        <w:tc>
          <w:tcPr>
            <w:tcW w:w="1371" w:type="dxa"/>
            <w:noWrap w:val="0"/>
            <w:vAlign w:val="center"/>
          </w:tcPr>
          <w:p>
            <w:pPr>
              <w:pStyle w:val="2"/>
              <w:rPr>
                <w:rFonts w:hint="eastAsia" w:ascii="宋体" w:hAnsi="宋体" w:cs="宋体"/>
                <w:color w:val="auto"/>
                <w:sz w:val="24"/>
                <w:lang w:val="zh-CN" w:eastAsia="zh-CN"/>
              </w:rPr>
            </w:pPr>
          </w:p>
        </w:tc>
        <w:tc>
          <w:tcPr>
            <w:tcW w:w="1644" w:type="dxa"/>
            <w:noWrap w:val="0"/>
            <w:vAlign w:val="center"/>
          </w:tcPr>
          <w:p>
            <w:pPr>
              <w:pStyle w:val="2"/>
              <w:rPr>
                <w:rFonts w:hint="eastAsia" w:ascii="宋体" w:hAnsi="宋体" w:cs="宋体"/>
                <w:color w:val="auto"/>
                <w:sz w:val="24"/>
                <w:lang w:val="zh-CN" w:eastAsia="zh-CN"/>
              </w:rPr>
            </w:pPr>
          </w:p>
        </w:tc>
        <w:tc>
          <w:tcPr>
            <w:tcW w:w="1212" w:type="dxa"/>
            <w:noWrap w:val="0"/>
            <w:vAlign w:val="center"/>
          </w:tcPr>
          <w:p>
            <w:pPr>
              <w:pStyle w:val="2"/>
              <w:rPr>
                <w:rFonts w:hint="eastAsia" w:ascii="宋体" w:hAnsi="宋体" w:cs="宋体"/>
                <w:color w:val="auto"/>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77" w:type="dxa"/>
            <w:noWrap w:val="0"/>
            <w:vAlign w:val="center"/>
          </w:tcPr>
          <w:p>
            <w:pPr>
              <w:pStyle w:val="2"/>
              <w:jc w:val="center"/>
              <w:rPr>
                <w:rFonts w:hint="eastAsia" w:ascii="宋体" w:hAnsi="宋体" w:cs="宋体"/>
                <w:color w:val="auto"/>
                <w:sz w:val="24"/>
                <w:lang w:val="zh-CN" w:eastAsia="zh-CN"/>
              </w:rPr>
            </w:pPr>
            <w:r>
              <w:rPr>
                <w:rFonts w:hint="eastAsia" w:ascii="宋体" w:hAnsi="宋体" w:cs="宋体"/>
                <w:color w:val="auto"/>
                <w:sz w:val="24"/>
                <w:lang w:val="zh-CN" w:eastAsia="zh-CN"/>
              </w:rPr>
              <w:t>3</w:t>
            </w:r>
          </w:p>
        </w:tc>
        <w:tc>
          <w:tcPr>
            <w:tcW w:w="1275" w:type="dxa"/>
            <w:noWrap w:val="0"/>
            <w:vAlign w:val="center"/>
          </w:tcPr>
          <w:p>
            <w:pPr>
              <w:pStyle w:val="2"/>
              <w:rPr>
                <w:rFonts w:hint="eastAsia" w:ascii="宋体" w:hAnsi="宋体" w:cs="宋体"/>
                <w:color w:val="auto"/>
                <w:sz w:val="24"/>
                <w:lang w:val="zh-CN" w:eastAsia="zh-CN"/>
              </w:rPr>
            </w:pPr>
          </w:p>
        </w:tc>
        <w:tc>
          <w:tcPr>
            <w:tcW w:w="1114" w:type="dxa"/>
            <w:noWrap w:val="0"/>
            <w:vAlign w:val="center"/>
          </w:tcPr>
          <w:p>
            <w:pPr>
              <w:pStyle w:val="2"/>
              <w:rPr>
                <w:rFonts w:hint="eastAsia" w:ascii="宋体" w:hAnsi="宋体" w:cs="宋体"/>
                <w:color w:val="auto"/>
                <w:sz w:val="24"/>
                <w:lang w:val="zh-CN" w:eastAsia="zh-CN"/>
              </w:rPr>
            </w:pPr>
          </w:p>
        </w:tc>
        <w:tc>
          <w:tcPr>
            <w:tcW w:w="1661" w:type="dxa"/>
            <w:noWrap w:val="0"/>
            <w:vAlign w:val="center"/>
          </w:tcPr>
          <w:p>
            <w:pPr>
              <w:pStyle w:val="2"/>
              <w:rPr>
                <w:rFonts w:hint="eastAsia" w:ascii="宋体" w:hAnsi="宋体" w:cs="宋体"/>
                <w:color w:val="auto"/>
                <w:sz w:val="24"/>
                <w:lang w:val="zh-CN" w:eastAsia="zh-CN"/>
              </w:rPr>
            </w:pPr>
          </w:p>
        </w:tc>
        <w:tc>
          <w:tcPr>
            <w:tcW w:w="1371" w:type="dxa"/>
            <w:noWrap w:val="0"/>
            <w:vAlign w:val="center"/>
          </w:tcPr>
          <w:p>
            <w:pPr>
              <w:pStyle w:val="2"/>
              <w:rPr>
                <w:rFonts w:hint="eastAsia" w:ascii="宋体" w:hAnsi="宋体" w:cs="宋体"/>
                <w:color w:val="auto"/>
                <w:sz w:val="24"/>
                <w:lang w:val="zh-CN" w:eastAsia="zh-CN"/>
              </w:rPr>
            </w:pPr>
          </w:p>
        </w:tc>
        <w:tc>
          <w:tcPr>
            <w:tcW w:w="1644" w:type="dxa"/>
            <w:noWrap w:val="0"/>
            <w:vAlign w:val="center"/>
          </w:tcPr>
          <w:p>
            <w:pPr>
              <w:pStyle w:val="2"/>
              <w:rPr>
                <w:rFonts w:hint="eastAsia" w:ascii="宋体" w:hAnsi="宋体" w:cs="宋体"/>
                <w:color w:val="auto"/>
                <w:sz w:val="24"/>
                <w:lang w:val="zh-CN" w:eastAsia="zh-CN"/>
              </w:rPr>
            </w:pPr>
          </w:p>
        </w:tc>
        <w:tc>
          <w:tcPr>
            <w:tcW w:w="1212" w:type="dxa"/>
            <w:noWrap w:val="0"/>
            <w:vAlign w:val="center"/>
          </w:tcPr>
          <w:p>
            <w:pPr>
              <w:pStyle w:val="2"/>
              <w:rPr>
                <w:rFonts w:hint="eastAsia" w:ascii="宋体" w:hAnsi="宋体" w:cs="宋体"/>
                <w:color w:val="auto"/>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7" w:type="dxa"/>
            <w:noWrap w:val="0"/>
            <w:vAlign w:val="center"/>
          </w:tcPr>
          <w:p>
            <w:pPr>
              <w:pStyle w:val="2"/>
              <w:jc w:val="center"/>
              <w:rPr>
                <w:rFonts w:hint="eastAsia" w:ascii="宋体" w:hAnsi="宋体" w:cs="宋体"/>
                <w:color w:val="auto"/>
                <w:sz w:val="24"/>
                <w:lang w:val="zh-CN" w:eastAsia="zh-CN"/>
              </w:rPr>
            </w:pPr>
            <w:r>
              <w:rPr>
                <w:rFonts w:hint="eastAsia" w:ascii="宋体" w:hAnsi="宋体" w:cs="宋体"/>
                <w:color w:val="auto"/>
                <w:sz w:val="24"/>
                <w:lang w:val="zh-CN" w:eastAsia="zh-CN"/>
              </w:rPr>
              <w:t>…</w:t>
            </w:r>
          </w:p>
        </w:tc>
        <w:tc>
          <w:tcPr>
            <w:tcW w:w="1275" w:type="dxa"/>
            <w:noWrap w:val="0"/>
            <w:vAlign w:val="center"/>
          </w:tcPr>
          <w:p>
            <w:pPr>
              <w:pStyle w:val="2"/>
              <w:rPr>
                <w:rFonts w:hint="eastAsia" w:ascii="宋体" w:hAnsi="宋体" w:cs="宋体"/>
                <w:color w:val="auto"/>
                <w:sz w:val="24"/>
                <w:lang w:val="zh-CN" w:eastAsia="zh-CN"/>
              </w:rPr>
            </w:pPr>
          </w:p>
        </w:tc>
        <w:tc>
          <w:tcPr>
            <w:tcW w:w="1114" w:type="dxa"/>
            <w:noWrap w:val="0"/>
            <w:vAlign w:val="center"/>
          </w:tcPr>
          <w:p>
            <w:pPr>
              <w:pStyle w:val="2"/>
              <w:rPr>
                <w:rFonts w:hint="eastAsia" w:ascii="宋体" w:hAnsi="宋体" w:cs="宋体"/>
                <w:color w:val="auto"/>
                <w:sz w:val="24"/>
                <w:lang w:val="zh-CN" w:eastAsia="zh-CN"/>
              </w:rPr>
            </w:pPr>
          </w:p>
        </w:tc>
        <w:tc>
          <w:tcPr>
            <w:tcW w:w="1661" w:type="dxa"/>
            <w:noWrap w:val="0"/>
            <w:vAlign w:val="center"/>
          </w:tcPr>
          <w:p>
            <w:pPr>
              <w:pStyle w:val="2"/>
              <w:rPr>
                <w:rFonts w:hint="eastAsia" w:ascii="宋体" w:hAnsi="宋体" w:cs="宋体"/>
                <w:color w:val="auto"/>
                <w:sz w:val="24"/>
                <w:lang w:val="zh-CN" w:eastAsia="zh-CN"/>
              </w:rPr>
            </w:pPr>
          </w:p>
        </w:tc>
        <w:tc>
          <w:tcPr>
            <w:tcW w:w="1371" w:type="dxa"/>
            <w:noWrap w:val="0"/>
            <w:vAlign w:val="center"/>
          </w:tcPr>
          <w:p>
            <w:pPr>
              <w:pStyle w:val="2"/>
              <w:rPr>
                <w:rFonts w:hint="eastAsia" w:ascii="宋体" w:hAnsi="宋体" w:cs="宋体"/>
                <w:color w:val="auto"/>
                <w:sz w:val="24"/>
                <w:lang w:val="zh-CN" w:eastAsia="zh-CN"/>
              </w:rPr>
            </w:pPr>
          </w:p>
        </w:tc>
        <w:tc>
          <w:tcPr>
            <w:tcW w:w="1644" w:type="dxa"/>
            <w:noWrap w:val="0"/>
            <w:vAlign w:val="center"/>
          </w:tcPr>
          <w:p>
            <w:pPr>
              <w:pStyle w:val="2"/>
              <w:rPr>
                <w:rFonts w:hint="eastAsia" w:ascii="宋体" w:hAnsi="宋体" w:cs="宋体"/>
                <w:color w:val="auto"/>
                <w:sz w:val="24"/>
                <w:lang w:val="zh-CN" w:eastAsia="zh-CN"/>
              </w:rPr>
            </w:pPr>
          </w:p>
        </w:tc>
        <w:tc>
          <w:tcPr>
            <w:tcW w:w="1212" w:type="dxa"/>
            <w:noWrap w:val="0"/>
            <w:vAlign w:val="center"/>
          </w:tcPr>
          <w:p>
            <w:pPr>
              <w:pStyle w:val="2"/>
              <w:rPr>
                <w:rFonts w:hint="eastAsia" w:ascii="宋体" w:hAnsi="宋体" w:cs="宋体"/>
                <w:color w:val="auto"/>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154" w:type="dxa"/>
            <w:gridSpan w:val="7"/>
            <w:noWrap w:val="0"/>
            <w:vAlign w:val="center"/>
          </w:tcPr>
          <w:p>
            <w:pPr>
              <w:pStyle w:val="2"/>
              <w:jc w:val="both"/>
              <w:rPr>
                <w:rFonts w:hint="eastAsia" w:ascii="宋体" w:hAnsi="宋体" w:cs="宋体"/>
                <w:color w:val="auto"/>
                <w:sz w:val="24"/>
                <w:lang w:val="zh-CN" w:eastAsia="zh-CN"/>
              </w:rPr>
            </w:pPr>
            <w:r>
              <w:rPr>
                <w:rFonts w:hint="eastAsia" w:ascii="宋体" w:hAnsi="宋体" w:cs="宋体"/>
                <w:color w:val="auto"/>
                <w:sz w:val="24"/>
                <w:lang w:val="zh-CN" w:eastAsia="zh-CN"/>
              </w:rPr>
              <w:t>单价报价合计小写：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9154" w:type="dxa"/>
            <w:gridSpan w:val="7"/>
            <w:noWrap w:val="0"/>
            <w:vAlign w:val="center"/>
          </w:tcPr>
          <w:p>
            <w:pPr>
              <w:pStyle w:val="2"/>
              <w:jc w:val="both"/>
              <w:rPr>
                <w:rFonts w:hint="eastAsia" w:ascii="宋体" w:hAnsi="宋体" w:cs="宋体"/>
                <w:color w:val="auto"/>
                <w:sz w:val="24"/>
                <w:lang w:val="zh-CN" w:eastAsia="zh-CN"/>
              </w:rPr>
            </w:pPr>
            <w:r>
              <w:rPr>
                <w:rFonts w:hint="eastAsia" w:ascii="宋体" w:hAnsi="宋体" w:cs="宋体"/>
                <w:color w:val="auto"/>
                <w:sz w:val="24"/>
                <w:lang w:val="zh-CN" w:eastAsia="zh-CN"/>
              </w:rPr>
              <w:t>单价报价合计大写：</w:t>
            </w:r>
          </w:p>
        </w:tc>
      </w:tr>
    </w:tbl>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default" w:ascii="宋体" w:hAnsi="宋体" w:eastAsia="宋体" w:cs="宋体"/>
          <w:sz w:val="24"/>
          <w:szCs w:val="24"/>
          <w:lang w:val="en-US" w:eastAsia="zh-CN"/>
        </w:rPr>
      </w:pPr>
      <w:r>
        <w:rPr>
          <w:rFonts w:hint="eastAsia"/>
          <w:b/>
          <w:bCs/>
          <w:color w:val="auto"/>
          <w:sz w:val="22"/>
          <w:szCs w:val="22"/>
          <w:lang w:eastAsia="zh-CN"/>
        </w:rPr>
        <w:t>注：</w:t>
      </w:r>
      <w:r>
        <w:rPr>
          <w:rFonts w:hint="eastAsia" w:ascii="宋体" w:hAnsi="宋体" w:cs="宋体"/>
          <w:sz w:val="24"/>
          <w:szCs w:val="24"/>
          <w:lang w:val="en-US" w:eastAsia="zh-CN"/>
        </w:rPr>
        <w:t xml:space="preserve"> 1</w:t>
      </w:r>
      <w:r>
        <w:rPr>
          <w:rFonts w:hint="eastAsia" w:ascii="??" w:hAnsi="??" w:eastAsia="宋体" w:cs="??"/>
          <w:b w:val="0"/>
          <w:bCs w:val="0"/>
          <w:color w:val="auto"/>
          <w:kern w:val="2"/>
          <w:sz w:val="22"/>
          <w:szCs w:val="22"/>
          <w:lang w:val="en-US" w:eastAsia="zh-CN" w:bidi="ar-SA"/>
        </w:rPr>
        <w:t>.实行一次性报价。</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比选申请人：</w:t>
      </w:r>
      <w:r>
        <w:rPr>
          <w:rFonts w:hint="eastAsia" w:ascii="宋体" w:hAnsi="宋体" w:cs="宋体"/>
          <w:sz w:val="24"/>
          <w:szCs w:val="24"/>
          <w:u w:val="single"/>
        </w:rPr>
        <w:t xml:space="preserve">              </w:t>
      </w:r>
      <w:r>
        <w:rPr>
          <w:rFonts w:hint="eastAsia" w:ascii="宋体" w:hAnsi="宋体" w:cs="宋体"/>
          <w:sz w:val="24"/>
          <w:szCs w:val="24"/>
          <w:u w:val="none"/>
        </w:rPr>
        <w:t>（加盖公章）</w:t>
      </w:r>
    </w:p>
    <w:p>
      <w:pPr>
        <w:spacing w:line="500" w:lineRule="exact"/>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bCs/>
          <w:sz w:val="24"/>
          <w:szCs w:val="24"/>
        </w:rPr>
        <w:t>：</w:t>
      </w:r>
      <w:r>
        <w:rPr>
          <w:rFonts w:hint="eastAsia" w:ascii="宋体" w:hAnsi="宋体" w:cs="宋体"/>
          <w:sz w:val="24"/>
          <w:szCs w:val="24"/>
          <w:u w:val="single"/>
        </w:rPr>
        <w:t xml:space="preserve">               </w:t>
      </w:r>
    </w:p>
    <w:p>
      <w:pPr>
        <w:spacing w:line="48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
        <w:rPr>
          <w:rFonts w:hint="eastAsia" w:ascii="宋体" w:hAnsi="宋体"/>
          <w:color w:val="auto"/>
          <w:sz w:val="22"/>
          <w:szCs w:val="22"/>
        </w:rPr>
      </w:pPr>
    </w:p>
    <w:p>
      <w:pPr>
        <w:pStyle w:val="3"/>
        <w:rPr>
          <w:rFonts w:hint="eastAsia"/>
        </w:rPr>
      </w:pPr>
    </w:p>
    <w:p>
      <w:pPr>
        <w:rPr>
          <w:rFonts w:hint="eastAsia" w:ascii="宋体" w:hAnsi="宋体"/>
          <w:color w:val="auto"/>
          <w:sz w:val="22"/>
          <w:szCs w:val="22"/>
        </w:rPr>
      </w:pPr>
    </w:p>
    <w:p>
      <w:pPr>
        <w:ind w:firstLine="440" w:firstLineChars="200"/>
        <w:rPr>
          <w:rFonts w:hint="eastAsia" w:ascii="宋体" w:hAnsi="宋体"/>
          <w:color w:val="auto"/>
          <w:sz w:val="22"/>
          <w:szCs w:val="22"/>
        </w:rPr>
      </w:pPr>
    </w:p>
    <w:p>
      <w:pPr>
        <w:ind w:firstLine="440" w:firstLineChars="200"/>
        <w:rPr>
          <w:rFonts w:hint="eastAsia" w:ascii="宋体" w:hAnsi="宋体"/>
          <w:color w:val="auto"/>
          <w:sz w:val="22"/>
          <w:szCs w:val="22"/>
        </w:rPr>
      </w:pPr>
    </w:p>
    <w:p>
      <w:pPr>
        <w:ind w:firstLine="440" w:firstLineChars="200"/>
        <w:rPr>
          <w:rFonts w:hint="eastAsia" w:ascii="宋体" w:hAnsi="宋体"/>
          <w:color w:val="auto"/>
          <w:sz w:val="22"/>
          <w:szCs w:val="22"/>
        </w:rPr>
      </w:pPr>
    </w:p>
    <w:p>
      <w:pPr>
        <w:spacing w:before="156" w:beforeLines="50" w:after="156" w:afterLines="50"/>
        <w:rPr>
          <w:rFonts w:ascii="宋体" w:hAnsi="宋体" w:eastAsia="宋体" w:cs="宋体"/>
          <w:bCs/>
          <w:color w:val="auto"/>
          <w:sz w:val="24"/>
          <w:szCs w:val="24"/>
        </w:rPr>
      </w:pPr>
      <w:bookmarkStart w:id="5" w:name="_Toc217446086"/>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widowControl/>
        <w:jc w:val="left"/>
        <w:rPr>
          <w:rFonts w:ascii="宋体" w:hAnsi="宋体" w:eastAsia="宋体" w:cs="宋体"/>
          <w:bCs/>
          <w:color w:val="auto"/>
          <w:sz w:val="24"/>
          <w:szCs w:val="24"/>
        </w:rPr>
      </w:pPr>
      <w:r>
        <w:rPr>
          <w:rFonts w:ascii="宋体" w:hAnsi="宋体" w:eastAsia="宋体" w:cs="宋体"/>
          <w:bCs/>
          <w:color w:val="auto"/>
          <w:sz w:val="24"/>
          <w:szCs w:val="24"/>
        </w:rPr>
        <w:br w:type="page"/>
      </w:r>
    </w:p>
    <w:bookmarkEnd w:id="5"/>
    <w:p>
      <w:pPr>
        <w:pStyle w:val="5"/>
        <w:rPr>
          <w:rFonts w:ascii="华文中宋" w:hAnsi="华文中宋" w:eastAsia="华文中宋" w:cs="宋体"/>
          <w:bCs w:val="0"/>
          <w:color w:val="auto"/>
        </w:rPr>
      </w:pPr>
      <w:r>
        <w:rPr>
          <w:rFonts w:ascii="华文中宋" w:hAnsi="华文中宋" w:eastAsia="华文中宋" w:cs="宋体"/>
          <w:bCs w:val="0"/>
          <w:color w:val="auto"/>
        </w:rPr>
        <w:t>3、承诺函</w:t>
      </w:r>
    </w:p>
    <w:p>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rPr>
        <w:t>7、我方完全同意比选文件第一章比选申请人须知中关于“比选报价”、“比选响应有效期”、“合同签订”的实质性要求，并承诺严格按照比选文件要求履行。</w:t>
      </w:r>
    </w:p>
    <w:p>
      <w:pPr>
        <w:spacing w:before="80" w:after="80" w:line="360" w:lineRule="auto"/>
        <w:ind w:firstLine="480" w:firstLineChars="200"/>
        <w:rPr>
          <w:rFonts w:ascii="宋体" w:hAnsi="宋体" w:eastAsia="宋体" w:cs="宋体"/>
          <w:color w:val="auto"/>
          <w:sz w:val="24"/>
          <w:szCs w:val="24"/>
        </w:rPr>
      </w:pP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pPr>
        <w:spacing w:line="360" w:lineRule="auto"/>
        <w:ind w:firstLine="280"/>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pPr>
        <w:spacing w:line="360" w:lineRule="auto"/>
        <w:jc w:val="left"/>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pPr>
        <w:pStyle w:val="5"/>
        <w:rPr>
          <w:rFonts w:ascii="华文中宋" w:hAnsi="华文中宋" w:eastAsia="华文中宋" w:cs="宋体"/>
          <w:bCs w:val="0"/>
          <w:color w:val="auto"/>
        </w:rPr>
      </w:pPr>
      <w:r>
        <w:rPr>
          <w:rFonts w:ascii="华文中宋" w:hAnsi="华文中宋" w:eastAsia="华文中宋" w:cs="宋体"/>
          <w:bCs w:val="0"/>
          <w:color w:val="auto"/>
        </w:rPr>
        <w:t>4、营业执照或</w:t>
      </w:r>
      <w:r>
        <w:rPr>
          <w:rFonts w:hint="eastAsia" w:ascii="华文中宋" w:hAnsi="华文中宋" w:eastAsia="华文中宋" w:cs="宋体"/>
          <w:bCs w:val="0"/>
          <w:color w:val="auto"/>
        </w:rPr>
        <w:t>其他组织</w:t>
      </w:r>
      <w:r>
        <w:rPr>
          <w:rFonts w:ascii="华文中宋" w:hAnsi="华文中宋" w:eastAsia="华文中宋" w:cs="宋体"/>
          <w:bCs w:val="0"/>
          <w:color w:val="auto"/>
        </w:rPr>
        <w:t>的证明材料</w:t>
      </w:r>
    </w:p>
    <w:p>
      <w:pPr>
        <w:keepNext/>
        <w:keepLines/>
        <w:spacing w:line="360" w:lineRule="auto"/>
        <w:jc w:val="center"/>
        <w:rPr>
          <w:rFonts w:ascii="Cambria" w:hAnsi="Cambria" w:eastAsia="Cambria" w:cs="Cambria"/>
          <w:b/>
          <w:color w:val="auto"/>
          <w:sz w:val="32"/>
        </w:rPr>
      </w:pPr>
      <w:r>
        <w:rPr>
          <w:rFonts w:ascii="Cambria" w:hAnsi="Cambria" w:eastAsia="Cambria" w:cs="Cambria"/>
          <w:b/>
          <w:color w:val="auto"/>
          <w:sz w:val="32"/>
        </w:rPr>
        <w:t xml:space="preserve"> </w:t>
      </w: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pStyle w:val="5"/>
        <w:rPr>
          <w:rFonts w:ascii="Cambria" w:hAnsi="Cambria" w:eastAsia="Cambria" w:cs="Cambria"/>
          <w:b w:val="0"/>
          <w:color w:val="auto"/>
          <w:sz w:val="36"/>
          <w:szCs w:val="24"/>
        </w:rPr>
      </w:pPr>
      <w:r>
        <w:rPr>
          <w:rFonts w:ascii="华文中宋" w:hAnsi="华文中宋" w:eastAsia="华文中宋" w:cs="宋体"/>
          <w:bCs w:val="0"/>
          <w:color w:val="auto"/>
        </w:rPr>
        <w:t>5、比选申请人认为可提供的其他证明材料</w:t>
      </w:r>
    </w:p>
    <w:p>
      <w:pPr>
        <w:keepNext/>
        <w:keepLines/>
        <w:spacing w:line="360" w:lineRule="auto"/>
        <w:jc w:val="center"/>
        <w:rPr>
          <w:rFonts w:cs="仿宋" w:asciiTheme="minorEastAsia" w:hAnsiTheme="minorEastAsia"/>
          <w:b/>
          <w:color w:val="auto"/>
          <w:sz w:val="32"/>
        </w:rPr>
      </w:pPr>
      <w:r>
        <w:rPr>
          <w:rFonts w:cs="仿宋" w:asciiTheme="minorEastAsia" w:hAnsiTheme="minorEastAsia"/>
          <w:b/>
          <w:color w:val="auto"/>
          <w:sz w:val="32"/>
        </w:rPr>
        <w:t>（至少包含第三章提到的要求）</w:t>
      </w:r>
    </w:p>
    <w:p>
      <w:pPr>
        <w:spacing w:line="360" w:lineRule="auto"/>
        <w:ind w:firstLine="280"/>
        <w:jc w:val="center"/>
        <w:rPr>
          <w:rFonts w:cs="Times New Roman" w:asciiTheme="minorEastAsia" w:hAnsiTheme="minorEastAsia"/>
          <w:color w:val="auto"/>
          <w:sz w:val="28"/>
        </w:rPr>
      </w:pPr>
      <w:r>
        <w:rPr>
          <w:rFonts w:cs="宋体" w:asciiTheme="minorEastAsia" w:hAnsiTheme="minorEastAsia"/>
          <w:color w:val="auto"/>
          <w:sz w:val="28"/>
        </w:rPr>
        <w:t>（格式自拟）</w:t>
      </w:r>
    </w:p>
    <w:p>
      <w:pPr>
        <w:spacing w:line="360" w:lineRule="auto"/>
        <w:ind w:firstLine="280"/>
        <w:jc w:val="center"/>
        <w:rPr>
          <w:rFonts w:ascii="Times New Roman" w:hAnsi="Times New Roman" w:cs="Times New Roman"/>
          <w:b/>
          <w:color w:val="auto"/>
          <w:sz w:val="28"/>
        </w:rPr>
      </w:pPr>
      <w:r>
        <w:rPr>
          <w:rFonts w:ascii="Times New Roman" w:hAnsi="Times New Roman" w:eastAsia="Times New Roman" w:cs="Times New Roman"/>
          <w:b/>
          <w:color w:val="auto"/>
          <w:sz w:val="28"/>
        </w:rPr>
        <w:t xml:space="preserve"> </w:t>
      </w: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4"/>
        <w:jc w:val="center"/>
        <w:rPr>
          <w:rFonts w:ascii="华文中宋" w:hAnsi="华文中宋" w:eastAsia="华文中宋" w:cs="宋体"/>
          <w:b w:val="0"/>
          <w:color w:val="auto"/>
        </w:rPr>
      </w:pPr>
      <w:bookmarkStart w:id="6" w:name="_Toc66971934"/>
      <w:bookmarkStart w:id="7" w:name="_Toc68619134"/>
      <w:r>
        <w:rPr>
          <w:rFonts w:ascii="华文中宋" w:hAnsi="华文中宋" w:eastAsia="华文中宋" w:cs="宋体"/>
          <w:b w:val="0"/>
          <w:color w:val="auto"/>
        </w:rPr>
        <w:t>第三章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资格证明文件</w:t>
      </w:r>
      <w:bookmarkEnd w:id="6"/>
      <w:bookmarkEnd w:id="7"/>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一、比选申请人应提交的资格证明材料</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（一）比选申请人资格和资质性要求的相关证明材料：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在中华人民共和国境内依法注册的法人或者其他组织的证明材料（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以上证件均提供复印件）</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2、具有良好的商业信誉和健全的财务会计制度的证明材料可提供承诺函原件，格式详见第二章“承诺函”}。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4、具备履行合同所必需的设备和专业技术能力的证明材料（可提供承诺函原件，格式详见第二章“承诺函”）；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5、参加比选活动前三年内在经营活动中没有重大违法记录的证明材料（可提供承诺函原件，格式详见第二章“承诺函”）；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w:t>
      </w:r>
      <w:r>
        <w:rPr>
          <w:rFonts w:hint="eastAsia" w:cs="宋体" w:asciiTheme="minorEastAsia" w:hAnsiTheme="minorEastAsia"/>
          <w:color w:val="auto"/>
          <w:sz w:val="24"/>
          <w:szCs w:val="24"/>
        </w:rPr>
        <w:t>、比选申请人还符合法律、行政法规规定的其他强制性条件。（可提供承诺函原件，格式详见第二章“承诺函”）</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（二）其他类似效力要求相关证明材料：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w:t>
      </w:r>
      <w:r>
        <w:rPr>
          <w:rFonts w:hint="eastAsia" w:cs="宋体" w:asciiTheme="minorEastAsia" w:hAnsiTheme="minorEastAsia"/>
          <w:color w:val="auto"/>
          <w:sz w:val="24"/>
          <w:szCs w:val="24"/>
        </w:rPr>
        <w:t>、非法定代表人参与比选并签署响应文件时，提供法定代表人授权书原件以及法定代表人和授权代表的身份证复印件（提供身份证有困难的，也可提供户口本或军官证或护照等身份证明材料）；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w:t>
      </w:r>
      <w:r>
        <w:rPr>
          <w:rFonts w:hint="eastAsia" w:cs="宋体" w:asciiTheme="minorEastAsia" w:hAnsiTheme="minorEastAsia"/>
          <w:color w:val="auto"/>
          <w:sz w:val="24"/>
          <w:szCs w:val="24"/>
        </w:rPr>
        <w:t>、法定代表人直接参与比选并签署响应文件时，提供法定代表人证明书原件和法定代表人身份证复印件（提供身份证有困难的，也可提供户口本或军官证或护照等身份证明材料）。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注：</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1、以上要求的资料复印件均必须加盖比选申请人单位的公章（鲜章）。</w:t>
      </w:r>
    </w:p>
    <w:p>
      <w:pPr>
        <w:spacing w:before="80" w:after="80" w:line="360" w:lineRule="auto"/>
        <w:ind w:firstLine="480" w:firstLineChars="200"/>
        <w:rPr>
          <w:rFonts w:cs="宋体" w:asciiTheme="minorEastAsia" w:hAnsiTheme="minorEastAsia"/>
          <w:color w:val="auto"/>
          <w:sz w:val="24"/>
          <w:szCs w:val="24"/>
        </w:rPr>
      </w:pP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4"/>
        <w:jc w:val="center"/>
        <w:rPr>
          <w:rFonts w:ascii="华文中宋" w:hAnsi="华文中宋" w:eastAsia="华文中宋" w:cs="宋体"/>
          <w:b w:val="0"/>
          <w:color w:val="auto"/>
        </w:rPr>
      </w:pPr>
      <w:bookmarkStart w:id="8" w:name="_Toc68619135"/>
      <w:bookmarkStart w:id="9" w:name="_Toc66971935"/>
      <w:r>
        <w:rPr>
          <w:rFonts w:hint="eastAsia" w:ascii="华文中宋" w:hAnsi="华文中宋" w:eastAsia="华文中宋" w:cs="宋体"/>
          <w:b w:val="0"/>
          <w:color w:val="auto"/>
        </w:rPr>
        <w:t xml:space="preserve">第四章 </w:t>
      </w:r>
      <w:r>
        <w:rPr>
          <w:rFonts w:ascii="华文中宋" w:hAnsi="华文中宋" w:eastAsia="华文中宋" w:cs="宋体"/>
          <w:b w:val="0"/>
          <w:color w:val="auto"/>
        </w:rPr>
        <w:t>比选需求</w:t>
      </w:r>
      <w:bookmarkEnd w:id="8"/>
      <w:bookmarkEnd w:id="9"/>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前提：本章中所有内容均为本项目的实质性要求条款，比选申请人不满足的，符合性审查时将不予通过，其比选申请文件将被否决。</w:t>
      </w:r>
    </w:p>
    <w:p>
      <w:pPr>
        <w:keepNext/>
        <w:keepLines/>
        <w:tabs>
          <w:tab w:val="left" w:pos="720"/>
        </w:tabs>
        <w:spacing w:before="260" w:after="260" w:line="360" w:lineRule="auto"/>
        <w:ind w:firstLine="482" w:firstLineChars="200"/>
        <w:outlineLvl w:val="1"/>
        <w:rPr>
          <w:rFonts w:ascii="华文中宋" w:hAnsi="华文中宋" w:eastAsia="华文中宋" w:cs="宋体"/>
          <w:b/>
          <w:iCs/>
          <w:color w:val="auto"/>
          <w:sz w:val="24"/>
          <w:szCs w:val="24"/>
        </w:rPr>
      </w:pPr>
      <w:r>
        <w:rPr>
          <w:rFonts w:hint="eastAsia" w:ascii="华文中宋" w:hAnsi="华文中宋" w:eastAsia="华文中宋" w:cs="宋体"/>
          <w:b/>
          <w:iCs/>
          <w:color w:val="auto"/>
          <w:sz w:val="24"/>
          <w:szCs w:val="24"/>
        </w:rPr>
        <w:t>一、项目概述</w:t>
      </w:r>
    </w:p>
    <w:p>
      <w:pPr>
        <w:pStyle w:val="45"/>
        <w:spacing w:line="420" w:lineRule="exact"/>
        <w:ind w:firstLine="440"/>
        <w:rPr>
          <w:rFonts w:hint="eastAsia" w:ascii="宋体" w:hAnsi="宋体" w:cs="宋体"/>
          <w:color w:val="auto"/>
          <w:sz w:val="22"/>
          <w:szCs w:val="22"/>
        </w:rPr>
      </w:pPr>
      <w:r>
        <w:rPr>
          <w:rFonts w:hint="eastAsia" w:ascii="宋体" w:hAnsi="宋体" w:eastAsia="宋体" w:cs="宋体"/>
          <w:sz w:val="24"/>
          <w:szCs w:val="24"/>
          <w:lang w:val="zh-TW" w:eastAsia="zh-TW"/>
        </w:rPr>
        <w:t>为满足临床、患者用药需求，进一步提升药学服务能力，更好的继承和弘扬中医药，促进中西医结合，本着“公平、公正、择优”的原则，</w:t>
      </w:r>
      <w:r>
        <w:rPr>
          <w:rFonts w:hint="eastAsia" w:ascii="宋体" w:hAnsi="宋体" w:eastAsia="宋体" w:cs="宋体"/>
          <w:sz w:val="24"/>
          <w:szCs w:val="24"/>
          <w:lang w:val="en-US" w:eastAsia="zh-CN"/>
        </w:rPr>
        <w:t>通过比选产生</w:t>
      </w:r>
      <w:r>
        <w:rPr>
          <w:rFonts w:hint="eastAsia" w:ascii="宋体" w:hAnsi="宋体" w:eastAsia="宋体" w:cs="宋体"/>
          <w:sz w:val="24"/>
          <w:szCs w:val="24"/>
          <w:lang w:val="zh-TW" w:eastAsia="zh-TW"/>
        </w:rPr>
        <w:t>中药配方颗粒供应商</w:t>
      </w:r>
      <w:r>
        <w:rPr>
          <w:rFonts w:hint="eastAsia" w:ascii="宋体" w:hAnsi="宋体" w:eastAsia="宋体" w:cs="宋体"/>
          <w:sz w:val="24"/>
          <w:szCs w:val="24"/>
          <w:lang w:val="en-US" w:eastAsia="zh-CN"/>
        </w:rPr>
        <w:t>一家</w:t>
      </w:r>
      <w:r>
        <w:rPr>
          <w:rFonts w:hint="eastAsia" w:ascii="宋体" w:hAnsi="宋体" w:eastAsia="宋体" w:cs="宋体"/>
          <w:sz w:val="24"/>
          <w:szCs w:val="24"/>
          <w:lang w:val="zh-TW" w:eastAsia="zh-TW"/>
        </w:rPr>
        <w:t>。</w:t>
      </w:r>
    </w:p>
    <w:p>
      <w:pPr>
        <w:pStyle w:val="48"/>
        <w:framePr w:wrap="auto" w:vAnchor="margin" w:hAnchor="text" w:yAlign="inline"/>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lang w:val="zh-TW" w:eastAsia="zh-TW"/>
        </w:rPr>
        <w:t>中药配方颗粒</w:t>
      </w:r>
      <w:r>
        <w:rPr>
          <w:rFonts w:hint="eastAsia" w:ascii="宋体" w:hAnsi="宋体" w:eastAsia="宋体" w:cs="宋体"/>
          <w:b/>
          <w:bCs/>
          <w:sz w:val="24"/>
          <w:szCs w:val="24"/>
          <w:lang w:val="zh-TW" w:eastAsia="zh-CN"/>
        </w:rPr>
        <w:t>配送</w:t>
      </w:r>
      <w:r>
        <w:rPr>
          <w:rFonts w:hint="eastAsia" w:ascii="宋体" w:hAnsi="宋体" w:eastAsia="宋体" w:cs="宋体"/>
          <w:b/>
          <w:bCs/>
          <w:sz w:val="24"/>
          <w:szCs w:val="24"/>
        </w:rPr>
        <w:t>清单</w:t>
      </w:r>
    </w:p>
    <w:tbl>
      <w:tblPr>
        <w:tblStyle w:val="21"/>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890"/>
        <w:gridCol w:w="525"/>
        <w:gridCol w:w="990"/>
        <w:gridCol w:w="555"/>
        <w:gridCol w:w="842"/>
        <w:gridCol w:w="598"/>
        <w:gridCol w:w="930"/>
        <w:gridCol w:w="570"/>
        <w:gridCol w:w="885"/>
        <w:gridCol w:w="675"/>
        <w:gridCol w:w="810"/>
        <w:gridCol w:w="63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细辛</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桂枝</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炒葶苈子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地骨皮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石菖蒲</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法半夏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连翘</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金银花</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蛇床子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地肤子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盐黄柏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玄参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盐知母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燀苦杏仁</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桑枝</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羌活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荆芥</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炒莱菔子</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益母草</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猪苓</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大枣</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紫苏梗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蜜白前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丝瓜络</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炒僵蚕</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皂角刺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炒麦芽</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紫苏叶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龙胆草</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蒲公英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盐巴戟天</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泽兰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炒山楂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鸡内金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射干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蜜麻黄绒</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蜜麻黄</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盐泽泻</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盐车前子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鸡矢藤</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升麻</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蜜旋复花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蜜紫菀</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枸杞子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银柴胡</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生白术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化橘红</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桔梗</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白附片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制白附子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北柴胡</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盐杜仲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甘草</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炒瓜蒌子</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蜜瓜蒌皮</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苍耳子</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白扁豆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酒黄连</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盐大菟丝子</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制黄精</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舒筋草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炒川楝子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炒紫苏子</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姜厚朴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白鲜皮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陈皮</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伸筋草</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炙黄芪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川木通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酒黄芩</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牡丹皮</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牛膝</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酒丹参</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菊花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薤白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炒稻芽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川牛膝</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茵陈</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炒牛蒡子</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威灵仙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焦山楂</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鹿衔草</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木蝴蝶</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南沙参</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蝉蜕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夏枯草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隔山撬</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党参</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酒川芎</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土茯苓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醋没药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姜半夏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醋五味子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薏苡仁</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葛根</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酒大黄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炒火麻仁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盐益智仁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莲子</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木香</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酸枣仁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麻黄根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蜜百部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枳实</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炒枳壳</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桑寄生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橘络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麸炒白术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香橼</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藿香</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浮小麦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制何首乌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炙甘草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马齿苋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煅石决明</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茯神木</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合欢皮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盐补骨脂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秦皮</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煅龙骨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大肺经草</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桑葚</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首乌藤</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炒栀子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炒青皮</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肉苁蓉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生石膏</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淫羊藿</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茯苓皮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北沙参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干鱼腥草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合欢花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煅牡蛎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柿蒂</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柏子仁</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龙眼肉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蜜远志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牡蛎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钩藤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当归</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山药</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煅磁石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竹叶柴胡</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茯苓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醋延胡索</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醋香附</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炒陈皮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熟地黄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kern w:val="2"/>
          <w:sz w:val="24"/>
          <w:szCs w:val="24"/>
          <w:u w:val="none" w:color="000000"/>
          <w:lang w:val="en-US" w:eastAsia="zh-CN" w:bidi="ar-SA"/>
        </w:rPr>
      </w:pPr>
      <w:r>
        <w:rPr>
          <w:rFonts w:hint="eastAsia" w:ascii="宋体" w:hAnsi="宋体" w:eastAsia="宋体" w:cs="宋体"/>
          <w:b/>
          <w:bCs/>
          <w:color w:val="000000"/>
          <w:kern w:val="2"/>
          <w:sz w:val="24"/>
          <w:szCs w:val="24"/>
          <w:u w:val="none" w:color="000000"/>
          <w:lang w:val="en-US" w:eastAsia="zh-CN" w:bidi="ar-SA"/>
        </w:rPr>
        <w:t>三、报价要求：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比选申请人报价时，按医院提供的中药配方颗粒配送清单格式及目录顺序进行报价（报价不按顺序者按无效处理），中药配方颗粒品种按折算为饮片1g后的供货价进行报价；所有品种必须报价；须保证所有品种目前均能正常供应；单价报价之和作为评审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2.报价应按比选文件药品目录对应格式填写，提供电子版与纸质版，电子版报价应与纸质版比选申请文件报价一致，如不一致，以电子版报价为准。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3.比选申请人必须按“中药配方颗粒目录报价表”中所有药品进行完整、唯一报价，否则，其比选申请文件无效。比选申请文件只允许一个报价。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4.报价应包含本次采购范围内的配方颗粒的包装、运输、装卸、保险、税金、安装、 调试、检验、售后服务、培训、保修及其他所有相关费用的总和。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5.报价应遵循质量优先、价格合理的原则，不得进行恶意竞争。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四、服务要求：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w:t>
      </w:r>
      <w:r>
        <w:rPr>
          <w:rFonts w:hint="eastAsia" w:ascii="宋体" w:hAnsi="宋体" w:eastAsia="宋体" w:cs="宋体"/>
          <w:sz w:val="24"/>
          <w:szCs w:val="24"/>
          <w:lang w:val="zh-TW" w:eastAsia="zh-TW"/>
        </w:rPr>
        <w:t>不论配送服务规模大小如何，供应商均应保证配送。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u w:val="none" w:color="000000"/>
          <w:lang w:val="en-US" w:eastAsia="zh-CN" w:bidi="ar-SA"/>
        </w:rPr>
        <w:t>2.</w:t>
      </w:r>
      <w:r>
        <w:rPr>
          <w:rFonts w:hint="eastAsia" w:ascii="宋体" w:hAnsi="宋体" w:eastAsia="宋体" w:cs="宋体"/>
          <w:sz w:val="24"/>
          <w:szCs w:val="24"/>
          <w:lang w:val="zh-TW" w:eastAsia="zh-TW"/>
        </w:rPr>
        <w:t>配送时间</w:t>
      </w:r>
      <w:r>
        <w:rPr>
          <w:rFonts w:hint="eastAsia" w:ascii="宋体" w:hAnsi="宋体" w:eastAsia="宋体" w:cs="宋体"/>
          <w:sz w:val="24"/>
          <w:szCs w:val="24"/>
          <w:lang w:val="zh-TW" w:eastAsia="zh-CN"/>
        </w:rPr>
        <w:t>要求：</w:t>
      </w:r>
      <w:r>
        <w:rPr>
          <w:rFonts w:hint="eastAsia" w:ascii="宋体" w:hAnsi="宋体" w:eastAsia="宋体" w:cs="宋体"/>
          <w:sz w:val="24"/>
          <w:szCs w:val="24"/>
          <w:lang w:val="zh-TW" w:eastAsia="zh-TW"/>
        </w:rPr>
        <w:t>2个工作小时内响应医</w:t>
      </w:r>
      <w:r>
        <w:rPr>
          <w:rFonts w:hint="eastAsia" w:ascii="宋体" w:hAnsi="宋体" w:eastAsia="宋体" w:cs="宋体"/>
          <w:sz w:val="24"/>
          <w:szCs w:val="24"/>
          <w:lang w:val="zh-TW" w:eastAsia="zh-CN"/>
        </w:rPr>
        <w:t>院</w:t>
      </w:r>
      <w:r>
        <w:rPr>
          <w:rFonts w:hint="eastAsia" w:ascii="宋体" w:hAnsi="宋体" w:eastAsia="宋体" w:cs="宋体"/>
          <w:sz w:val="24"/>
          <w:szCs w:val="24"/>
          <w:lang w:val="zh-TW" w:eastAsia="zh-TW"/>
        </w:rPr>
        <w:t>订单，并从订单下达之时起，急需药品24小时内配送，一般药品72小时内配送，节假日照常配送</w:t>
      </w:r>
      <w:r>
        <w:rPr>
          <w:rFonts w:hint="eastAsia" w:ascii="宋体" w:hAnsi="宋体" w:eastAsia="宋体" w:cs="宋体"/>
          <w:sz w:val="24"/>
          <w:szCs w:val="24"/>
          <w:lang w:val="zh-TW" w:eastAsia="zh-CN"/>
        </w:rPr>
        <w:t>。</w:t>
      </w:r>
    </w:p>
    <w:p>
      <w:pPr>
        <w:pStyle w:val="2"/>
      </w:pPr>
      <w:r>
        <w:rPr>
          <w:rFonts w:hint="eastAsia" w:ascii="宋体" w:hAnsi="宋体" w:eastAsia="宋体" w:cs="宋体"/>
          <w:color w:val="000000"/>
          <w:kern w:val="2"/>
          <w:sz w:val="24"/>
          <w:szCs w:val="24"/>
          <w:u w:val="none" w:color="000000"/>
          <w:lang w:val="en-US" w:eastAsia="zh-CN" w:bidi="ar-SA"/>
        </w:rPr>
        <w:t xml:space="preserve">    3.对可能影响临床治疗的中药配方颗粒均实行免费退换货。</w:t>
      </w:r>
    </w:p>
    <w:p>
      <w:pPr>
        <w:pStyle w:val="5"/>
        <w:ind w:firstLine="361" w:firstLineChars="100"/>
        <w:jc w:val="both"/>
        <w:rPr>
          <w:rFonts w:ascii="华文中宋" w:hAnsi="华文中宋" w:eastAsia="华文中宋" w:cs="宋体"/>
          <w:bCs w:val="0"/>
          <w:color w:val="auto"/>
          <w:sz w:val="24"/>
          <w:szCs w:val="24"/>
        </w:rPr>
      </w:pPr>
      <w:r>
        <w:rPr>
          <w:rFonts w:ascii="华文中宋" w:hAnsi="华文中宋" w:eastAsia="华文中宋" w:cs="宋体"/>
          <w:bCs w:val="0"/>
          <w:color w:val="auto"/>
          <w:sz w:val="36"/>
          <w:szCs w:val="24"/>
        </w:rPr>
        <w:t>*</w:t>
      </w:r>
      <w:r>
        <w:rPr>
          <w:rFonts w:hint="eastAsia" w:ascii="华文中宋" w:hAnsi="华文中宋" w:eastAsia="华文中宋" w:cs="宋体"/>
          <w:bCs w:val="0"/>
          <w:color w:val="auto"/>
          <w:sz w:val="24"/>
          <w:szCs w:val="24"/>
          <w:lang w:val="en-US" w:eastAsia="zh-CN"/>
        </w:rPr>
        <w:t>五</w:t>
      </w:r>
      <w:r>
        <w:rPr>
          <w:rFonts w:hint="eastAsia" w:ascii="华文中宋" w:hAnsi="华文中宋" w:eastAsia="华文中宋" w:cs="宋体"/>
          <w:bCs w:val="0"/>
          <w:color w:val="auto"/>
          <w:sz w:val="24"/>
          <w:szCs w:val="24"/>
        </w:rPr>
        <w:t>、商务要求</w:t>
      </w:r>
    </w:p>
    <w:p>
      <w:pPr>
        <w:numPr>
          <w:ilvl w:val="0"/>
          <w:numId w:val="2"/>
        </w:num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服务期限：</w:t>
      </w:r>
      <w:r>
        <w:rPr>
          <w:rFonts w:hint="eastAsia" w:ascii="宋体" w:hAnsi="宋体" w:cs="宋体"/>
          <w:color w:val="auto"/>
          <w:sz w:val="22"/>
          <w:szCs w:val="22"/>
          <w:lang w:val="en-US" w:eastAsia="zh-CN"/>
        </w:rPr>
        <w:t>1</w:t>
      </w:r>
      <w:r>
        <w:rPr>
          <w:rFonts w:hint="eastAsia" w:ascii="宋体" w:hAnsi="宋体" w:cs="宋体"/>
          <w:color w:val="auto"/>
          <w:sz w:val="22"/>
          <w:szCs w:val="22"/>
        </w:rPr>
        <w:t>年（自签订合同之日起计算）。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2.交货期及地点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（1）交货期：按采购人提供的实际计划量供应商按时配送供货。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ascii="宋体" w:hAnsi="宋体" w:eastAsia="宋体" w:cs="宋体"/>
          <w:color w:val="auto"/>
          <w:kern w:val="2"/>
          <w:sz w:val="24"/>
          <w:szCs w:val="24"/>
          <w:u w:val="none" w:color="000000"/>
          <w:lang w:val="en-US" w:eastAsia="zh-CN" w:bidi="ar-SA"/>
        </w:rPr>
        <w:t>（2）交货地点：成华区中医医院中药房。</w:t>
      </w:r>
      <w:bookmarkStart w:id="12" w:name="_GoBack"/>
      <w:bookmarkEnd w:id="12"/>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.付款方式：按医院付款程序，配送商将货物运输到采购人指定地点交付验收合格并开具国家税法规定的正规、有效税务发票后在 90 天内或按医院相关规定支付款项，由采购人向配送商支付相关货款。</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3.售后服务</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3.1配送商负责回收过期、淘汰、变质或被污染的产品，并按环保法律法规进行处置。保障</w:t>
      </w:r>
      <w:r>
        <w:rPr>
          <w:rFonts w:hint="eastAsia" w:ascii="宋体" w:hAnsi="宋体" w:cs="宋体"/>
          <w:color w:val="auto"/>
          <w:sz w:val="22"/>
          <w:szCs w:val="22"/>
          <w:lang w:val="en-US" w:eastAsia="zh-CN"/>
        </w:rPr>
        <w:t>服务</w:t>
      </w:r>
      <w:r>
        <w:rPr>
          <w:rFonts w:hint="eastAsia" w:ascii="宋体" w:hAnsi="宋体" w:cs="宋体"/>
          <w:color w:val="auto"/>
          <w:sz w:val="22"/>
          <w:szCs w:val="22"/>
        </w:rPr>
        <w:t>安全。</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3.2供货过程中须提供下列服务：</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（1）药品的现场搬运或入库；</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（2）提供药品开箱或分装的用具；</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（3）对开箱时发现的破损、近失效期</w:t>
      </w:r>
      <w:r>
        <w:rPr>
          <w:rFonts w:hint="eastAsia" w:ascii="宋体" w:hAnsi="宋体" w:cs="宋体"/>
          <w:color w:val="auto"/>
          <w:sz w:val="22"/>
          <w:szCs w:val="22"/>
          <w:lang w:val="en-US" w:eastAsia="zh-CN"/>
        </w:rPr>
        <w:t>产品</w:t>
      </w:r>
      <w:r>
        <w:rPr>
          <w:rFonts w:hint="eastAsia" w:ascii="宋体" w:hAnsi="宋体" w:cs="宋体"/>
          <w:color w:val="auto"/>
          <w:sz w:val="22"/>
          <w:szCs w:val="22"/>
        </w:rPr>
        <w:t>或其他不合格包装药品及时更换；</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（4）其他应提供的相关服务项目。</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3.3服务期内出现</w:t>
      </w:r>
      <w:r>
        <w:rPr>
          <w:rFonts w:hint="eastAsia" w:ascii="宋体" w:hAnsi="宋体" w:cs="宋体"/>
          <w:color w:val="auto"/>
          <w:sz w:val="22"/>
          <w:szCs w:val="22"/>
          <w:lang w:val="en-US" w:eastAsia="zh-CN"/>
        </w:rPr>
        <w:t>产品</w:t>
      </w:r>
      <w:r>
        <w:rPr>
          <w:rFonts w:hint="eastAsia" w:ascii="宋体" w:hAnsi="宋体" w:cs="宋体"/>
          <w:color w:val="auto"/>
          <w:sz w:val="22"/>
          <w:szCs w:val="22"/>
        </w:rPr>
        <w:t>质量问题，配送供应商在接到通知后，按采购人要求到达现场协助处理质量问题。</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3.4配送商在满足</w:t>
      </w:r>
      <w:r>
        <w:rPr>
          <w:rFonts w:hint="eastAsia" w:ascii="宋体" w:hAnsi="宋体" w:cs="宋体"/>
          <w:color w:val="auto"/>
          <w:sz w:val="22"/>
          <w:szCs w:val="22"/>
          <w:lang w:val="en-US" w:eastAsia="zh-CN"/>
        </w:rPr>
        <w:t>比选</w:t>
      </w:r>
      <w:r>
        <w:rPr>
          <w:rFonts w:hint="eastAsia" w:ascii="宋体" w:hAnsi="宋体" w:cs="宋体"/>
          <w:color w:val="auto"/>
          <w:sz w:val="22"/>
          <w:szCs w:val="22"/>
        </w:rPr>
        <w:t>文件要求的情况下提供售后服务承诺资料及质量保障。</w:t>
      </w:r>
    </w:p>
    <w:p>
      <w:pPr>
        <w:pStyle w:val="2"/>
        <w:numPr>
          <w:ilvl w:val="0"/>
          <w:numId w:val="0"/>
        </w:numPr>
        <w:ind w:left="210" w:leftChars="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4.货物有效期：从货物送达之日起≥产品有效期的三分之二。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5.验收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按照《财政部关于进一步加强政府采购需求和履约验收管理的指导意见》（财库〔2016〕205号）的要求进行验收，验收标准以合同、比选文件及响应文件的约定及要求、相关法律法规的规定和国家（行业）标准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w:t>
      </w:r>
      <w:r>
        <w:rPr>
          <w:rFonts w:hint="eastAsia" w:ascii="宋体" w:hAnsi="宋体" w:eastAsia="宋体" w:cs="宋体"/>
          <w:color w:val="000000"/>
          <w:kern w:val="2"/>
          <w:sz w:val="24"/>
          <w:szCs w:val="24"/>
          <w:u w:val="none" w:color="000000"/>
          <w:lang w:val="en-US" w:eastAsia="zh-CN" w:bidi="ar-SA"/>
        </w:rPr>
        <w:t>如供应商提供的中药配方颗粒不能满足临床需要，与比选、比选申请文件不符，采购人有权退货，并追究由此造成的经济损失及相关法律责任。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6.其他：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在中药配方颗粒配送服务期间，因中选供应商配送的产品质量问题给采购人造成的纠纷、医疗事故和经济损失由中选供应商负责。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ascii="宋体" w:hAnsi="宋体" w:eastAsia="宋体" w:cs="宋体"/>
          <w:color w:val="auto"/>
          <w:kern w:val="2"/>
          <w:sz w:val="24"/>
          <w:szCs w:val="24"/>
          <w:u w:val="none" w:color="000000"/>
          <w:lang w:val="en-US" w:eastAsia="zh-CN" w:bidi="ar-SA"/>
        </w:rPr>
        <w:t>（2）</w:t>
      </w:r>
      <w:r>
        <w:rPr>
          <w:rFonts w:hint="eastAsia" w:ascii="宋体" w:hAnsi="宋体" w:eastAsia="宋体" w:cs="宋体"/>
          <w:color w:val="000000"/>
          <w:kern w:val="2"/>
          <w:sz w:val="24"/>
          <w:szCs w:val="24"/>
          <w:u w:val="none" w:color="000000"/>
          <w:lang w:val="en-US" w:eastAsia="zh-CN" w:bidi="ar-SA"/>
        </w:rPr>
        <w:t>中药配方颗粒严格执行《中华人民共和国药品管理法》《中华人民共和国药典》2020版等相关的规定，</w:t>
      </w:r>
      <w:r>
        <w:rPr>
          <w:rFonts w:hint="eastAsia" w:ascii="Calibri" w:hAnsi="宋体" w:eastAsia="宋体" w:cs="宋体"/>
          <w:b/>
          <w:bCs/>
          <w:color w:val="auto"/>
          <w:sz w:val="22"/>
          <w:szCs w:val="22"/>
          <w:lang w:val="en-US" w:eastAsia="zh-CN"/>
        </w:rPr>
        <w:t>符合国家药品监督管理局相关</w:t>
      </w:r>
      <w:r>
        <w:rPr>
          <w:rFonts w:hint="eastAsia" w:ascii="Calibri" w:hAnsi="宋体" w:cs="宋体"/>
          <w:b/>
          <w:bCs/>
          <w:color w:val="auto"/>
          <w:sz w:val="22"/>
          <w:szCs w:val="22"/>
          <w:lang w:val="en-US" w:eastAsia="zh-CN"/>
        </w:rPr>
        <w:t>规定</w:t>
      </w:r>
      <w:r>
        <w:rPr>
          <w:rFonts w:hint="eastAsia" w:ascii="Calibri" w:hAnsi="宋体" w:eastAsia="宋体" w:cs="宋体"/>
          <w:b/>
          <w:bCs/>
          <w:color w:val="auto"/>
          <w:sz w:val="22"/>
          <w:szCs w:val="22"/>
          <w:lang w:val="en-US" w:eastAsia="zh-CN"/>
        </w:rPr>
        <w:t>，在四川省食品药品监督管理局备案。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ascii="宋体" w:hAnsi="宋体" w:eastAsia="宋体" w:cs="宋体"/>
          <w:color w:val="auto"/>
          <w:kern w:val="2"/>
          <w:sz w:val="24"/>
          <w:szCs w:val="24"/>
          <w:u w:val="none" w:color="000000"/>
          <w:lang w:val="en-US" w:eastAsia="zh-CN" w:bidi="ar-SA"/>
        </w:rPr>
        <w:t>（3）</w:t>
      </w:r>
      <w:r>
        <w:rPr>
          <w:rFonts w:hint="eastAsia"/>
          <w:sz w:val="24"/>
          <w:szCs w:val="24"/>
        </w:rPr>
        <w:t>供应商应承诺能够按照配送服务合同规定及采购方需求的品种、质量、价格、规格、及时供货。如成交后不能满足上述采购方需求，直接影响采购方工作，对采购方造成直接或间接经济损失及负面影响的，供应商按照相关法律及规定承担赔偿责任，采购方有权终止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（4）</w:t>
      </w:r>
      <w:r>
        <w:rPr>
          <w:rFonts w:hint="eastAsia" w:ascii="宋体" w:hAnsi="宋体" w:eastAsia="宋体" w:cs="宋体"/>
          <w:color w:val="000000"/>
          <w:kern w:val="2"/>
          <w:sz w:val="24"/>
          <w:szCs w:val="24"/>
          <w:u w:val="none" w:color="000000"/>
          <w:lang w:val="en-US" w:eastAsia="zh-CN" w:bidi="ar-SA"/>
        </w:rPr>
        <w:t>本项目在合同履行期间如国家政策调整和采购人上级另有要求，按政策及上级要求执行，合同将自动终止或调整合同内容。</w:t>
      </w:r>
    </w:p>
    <w:p>
      <w:pPr>
        <w:pStyle w:val="3"/>
        <w:numPr>
          <w:ilvl w:val="0"/>
          <w:numId w:val="0"/>
        </w:numPr>
        <w:rPr>
          <w:rFonts w:hint="eastAsia"/>
        </w:rPr>
      </w:pPr>
      <w:r>
        <w:rPr>
          <w:rFonts w:hint="eastAsia" w:ascii="宋体" w:hAnsi="宋体" w:eastAsia="宋体" w:cs="宋体"/>
          <w:color w:val="auto"/>
          <w:kern w:val="2"/>
          <w:sz w:val="24"/>
          <w:szCs w:val="24"/>
          <w:u w:val="none" w:color="000000"/>
          <w:lang w:val="en-US" w:eastAsia="zh-CN" w:bidi="ar-SA"/>
        </w:rPr>
        <w:t>（5）</w:t>
      </w:r>
      <w:r>
        <w:rPr>
          <w:rFonts w:hint="eastAsia"/>
          <w:sz w:val="24"/>
          <w:szCs w:val="24"/>
        </w:rPr>
        <w:t>未尽事宜在合同中约定。</w:t>
      </w:r>
    </w:p>
    <w:p>
      <w:pPr>
        <w:rPr>
          <w:rFonts w:ascii="仿宋" w:hAnsi="仿宋" w:eastAsia="仿宋" w:cs="Times New Roman"/>
          <w:color w:val="auto"/>
        </w:rPr>
      </w:pPr>
    </w:p>
    <w:p>
      <w:pPr>
        <w:widowControl/>
        <w:jc w:val="center"/>
        <w:rPr>
          <w:rFonts w:ascii="华文中宋" w:hAnsi="华文中宋" w:eastAsia="华文中宋" w:cs="宋体"/>
          <w:b w:val="0"/>
          <w:color w:val="auto"/>
        </w:rPr>
      </w:pPr>
      <w:bookmarkStart w:id="10" w:name="_Toc68619136"/>
      <w:bookmarkStart w:id="11" w:name="_Toc66971936"/>
      <w:r>
        <w:rPr>
          <w:rFonts w:ascii="华文中宋" w:hAnsi="华文中宋" w:eastAsia="华文中宋" w:cs="宋体"/>
          <w:b w:val="0"/>
          <w:color w:val="auto"/>
        </w:rPr>
        <w:t>第</w:t>
      </w:r>
      <w:r>
        <w:rPr>
          <w:rFonts w:hint="eastAsia" w:ascii="华文中宋" w:hAnsi="华文中宋" w:eastAsia="华文中宋" w:cs="宋体"/>
          <w:b w:val="0"/>
          <w:color w:val="auto"/>
        </w:rPr>
        <w:t>五</w:t>
      </w:r>
      <w:r>
        <w:rPr>
          <w:rFonts w:ascii="华文中宋" w:hAnsi="华文中宋" w:eastAsia="华文中宋" w:cs="宋体"/>
          <w:b w:val="0"/>
          <w:color w:val="auto"/>
        </w:rPr>
        <w:t>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评审办法</w:t>
      </w:r>
      <w:bookmarkEnd w:id="10"/>
      <w:bookmarkEnd w:id="11"/>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总则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1.1比选人将根据比选特点组建评审委员会，采取</w:t>
      </w:r>
      <w:r>
        <w:rPr>
          <w:rFonts w:hint="eastAsia" w:cs="宋体" w:asciiTheme="minorEastAsia" w:hAnsiTheme="minorEastAsia"/>
          <w:color w:val="auto"/>
          <w:sz w:val="24"/>
          <w:szCs w:val="24"/>
        </w:rPr>
        <w:t>综合评分法</w:t>
      </w:r>
      <w:r>
        <w:rPr>
          <w:rFonts w:cs="宋体" w:asciiTheme="minorEastAsia" w:hAnsiTheme="minorEastAsia"/>
          <w:color w:val="auto"/>
          <w:sz w:val="24"/>
          <w:szCs w:val="24"/>
        </w:rPr>
        <w:t>。</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1.3 评审委员会按照比选文件规定的评审方法和标准进行评审，并独立履行下列职责：</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（1）审查比选申请文件是否符合比选文件要求，并作出评价；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（2）要求比选申请人对比选申请文件有关事项作出解释或者澄清；</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（3）推荐中选候选人名单；</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（4）向比选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或者有关部门报告非法干预评审工作的行为。</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2.1比选申请文件初审。初审分为资格性检查和符合性检查。</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2.1.1资格性检查。依据法律法规和比选文件的规定，对比选申请文件中的第三章资格证明进行审查，以确定比选申请人具备比选资格。</w:t>
      </w:r>
    </w:p>
    <w:tbl>
      <w:tblPr>
        <w:tblStyle w:val="2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资格性检查内容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在中华人民共和国境内依法注册的法人或者其他组织的证明材料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具有良好的商业信誉和健全的财务会计制度的证明材料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具有依法缴纳税收和社会保障资金的良好记录的证明材料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具备履行合同所必需的设备和专业技术能力的证明材料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参加比选活动前三年内在经营活动中没有重大违法记录的证明材料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比选申请人还符合法律、行政法规规定的其他强制性条件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非法定代表人参与比选并签署响应文件时，提供法定代表人授权书原件以及法定代表人和授权代表的身份证复印件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3"/>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法定代表人直接参与比选并签署响应文件时，提供法定代表人证明书原件和法定代表人身份证复印件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2.1.2符合性检查。从比选申请文件的有效性、完整性和对比选文件的响应程度进行审查，以确定是否对比选文件的实质性要求作出响应</w:t>
      </w:r>
      <w:r>
        <w:rPr>
          <w:rFonts w:hint="eastAsia" w:cs="宋体" w:asciiTheme="minorEastAsia" w:hAnsiTheme="minorEastAsia"/>
          <w:color w:val="auto"/>
          <w:sz w:val="24"/>
          <w:szCs w:val="24"/>
        </w:rPr>
        <w:t>，不满足的作无效响应处理</w:t>
      </w:r>
      <w:r>
        <w:rPr>
          <w:rFonts w:cs="宋体" w:asciiTheme="minorEastAsia" w:hAnsiTheme="minorEastAsia"/>
          <w:color w:val="auto"/>
          <w:sz w:val="24"/>
          <w:szCs w:val="24"/>
        </w:rPr>
        <w:t>。</w:t>
      </w:r>
    </w:p>
    <w:tbl>
      <w:tblPr>
        <w:tblStyle w:val="2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符合性检查内容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未按比选文件规定盖章或签字的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比选申请文件中的报价高于本项目预算或最高限价或未按比选文件规定进行报价的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比选申请文件不满足本项目实质性要求的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发现在比选过程中有弄虚作假情形的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2"/>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按照要求报名登记并购买比选文件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2.3比较与评价。按比选文件中规定的评审方法和标准，对资格性检查和符合性检查合格的比选申请文件进行商务和技术评估，综合比较与评价。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2.4推荐中选候选人名单。中选候选人</w:t>
      </w:r>
      <w:r>
        <w:rPr>
          <w:rFonts w:hint="eastAsia" w:cs="宋体" w:asciiTheme="minorEastAsia" w:hAnsiTheme="minorEastAsia"/>
          <w:color w:val="auto"/>
          <w:sz w:val="24"/>
          <w:szCs w:val="24"/>
        </w:rPr>
        <w:t>比选人</w:t>
      </w:r>
      <w:r>
        <w:rPr>
          <w:rFonts w:cs="宋体" w:asciiTheme="minorEastAsia" w:hAnsiTheme="minorEastAsia"/>
          <w:color w:val="auto"/>
          <w:sz w:val="24"/>
          <w:szCs w:val="24"/>
        </w:rPr>
        <w:t>需要确定，但必须按顺序排列中选候选人。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2.5编写评审报告。评审报告是评审委员会根据全体评审成员签字的原始评审记录和评审结果编写的报告。</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定标及定标程序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3.1 评委会将评审情况写出书面报告，并按比选申请人</w:t>
      </w:r>
      <w:r>
        <w:rPr>
          <w:rFonts w:hint="eastAsia" w:cs="宋体" w:asciiTheme="minorEastAsia" w:hAnsiTheme="minorEastAsia"/>
          <w:color w:val="auto"/>
          <w:sz w:val="24"/>
          <w:szCs w:val="24"/>
        </w:rPr>
        <w:t>综合得分由高到低的</w:t>
      </w:r>
      <w:r>
        <w:rPr>
          <w:rFonts w:cs="宋体" w:asciiTheme="minorEastAsia" w:hAnsiTheme="minorEastAsia"/>
          <w:color w:val="auto"/>
          <w:sz w:val="24"/>
          <w:szCs w:val="24"/>
        </w:rPr>
        <w:t>顺序推荐</w:t>
      </w:r>
      <w:r>
        <w:rPr>
          <w:rFonts w:hint="eastAsia" w:cs="宋体" w:asciiTheme="minorEastAsia" w:hAnsiTheme="minorEastAsia"/>
          <w:color w:val="auto"/>
          <w:sz w:val="24"/>
          <w:szCs w:val="24"/>
        </w:rPr>
        <w:t>不少于</w:t>
      </w:r>
      <w:r>
        <w:rPr>
          <w:rFonts w:cs="宋体" w:asciiTheme="minorEastAsia" w:hAnsiTheme="minorEastAsia"/>
          <w:color w:val="auto"/>
          <w:sz w:val="24"/>
          <w:szCs w:val="24"/>
        </w:rPr>
        <w:t>3</w:t>
      </w:r>
      <w:r>
        <w:rPr>
          <w:rFonts w:hint="eastAsia" w:cs="宋体" w:asciiTheme="minorEastAsia" w:hAnsiTheme="minorEastAsia"/>
          <w:color w:val="auto"/>
          <w:sz w:val="24"/>
          <w:szCs w:val="24"/>
        </w:rPr>
        <w:t>家（含3家）</w:t>
      </w:r>
      <w:r>
        <w:rPr>
          <w:rFonts w:cs="宋体" w:asciiTheme="minorEastAsia" w:hAnsiTheme="minorEastAsia"/>
          <w:color w:val="auto"/>
          <w:sz w:val="24"/>
          <w:szCs w:val="24"/>
        </w:rPr>
        <w:t>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3.3 根据比选人确定的中选人，向中选人发出中选通知书。</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3.4 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不解释中选或落选原因，不退回比选申请文件和其他资料。</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评审细则及标准（</w:t>
      </w:r>
      <w:r>
        <w:rPr>
          <w:rFonts w:hint="eastAsia" w:ascii="华文中宋" w:hAnsi="华文中宋" w:eastAsia="华文中宋" w:cs="宋体"/>
          <w:bCs w:val="0"/>
          <w:color w:val="auto"/>
          <w:sz w:val="24"/>
          <w:szCs w:val="24"/>
        </w:rPr>
        <w:t>综合评分法</w:t>
      </w:r>
      <w:r>
        <w:rPr>
          <w:rFonts w:ascii="华文中宋" w:hAnsi="华文中宋" w:eastAsia="华文中宋" w:cs="宋体"/>
          <w:bCs w:val="0"/>
          <w:color w:val="auto"/>
          <w:sz w:val="24"/>
          <w:szCs w:val="24"/>
        </w:rPr>
        <w:t>）</w:t>
      </w:r>
    </w:p>
    <w:p>
      <w:pPr>
        <w:spacing w:before="80" w:after="80"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4.1 综合评分明细表</w:t>
      </w:r>
    </w:p>
    <w:p>
      <w:pPr>
        <w:pStyle w:val="2"/>
        <w:ind w:firstLine="480" w:firstLineChars="200"/>
        <w:rPr>
          <w:rFonts w:hint="default" w:eastAsiaTheme="minorEastAsia"/>
          <w:color w:val="auto"/>
          <w:lang w:val="en-US" w:eastAsia="zh-CN"/>
        </w:rPr>
      </w:pPr>
      <w:r>
        <w:rPr>
          <w:rFonts w:hint="eastAsia" w:cs="宋体" w:asciiTheme="minorEastAsia" w:hAnsiTheme="minorEastAsia"/>
          <w:color w:val="auto"/>
          <w:sz w:val="24"/>
          <w:szCs w:val="24"/>
          <w:lang w:val="en-US" w:eastAsia="zh-CN"/>
        </w:rPr>
        <w:t>01包</w:t>
      </w:r>
      <w:r>
        <w:rPr>
          <w:rFonts w:hint="eastAsia" w:cs="宋体" w:asciiTheme="minorEastAsia" w:hAnsiTheme="minorEastAsia"/>
          <w:color w:val="auto"/>
          <w:sz w:val="24"/>
          <w:szCs w:val="24"/>
        </w:rPr>
        <w:t>综合评分明细表</w:t>
      </w:r>
    </w:p>
    <w:tbl>
      <w:tblPr>
        <w:tblStyle w:val="21"/>
        <w:tblpPr w:leftFromText="180" w:rightFromText="180" w:vertAnchor="text" w:horzAnchor="page" w:tblpX="592" w:tblpY="400"/>
        <w:tblOverlap w:val="never"/>
        <w:tblW w:w="10712" w:type="dxa"/>
        <w:tblInd w:w="0" w:type="dxa"/>
        <w:tblLayout w:type="autofit"/>
        <w:tblCellMar>
          <w:top w:w="0" w:type="dxa"/>
          <w:left w:w="0" w:type="dxa"/>
          <w:bottom w:w="0" w:type="dxa"/>
          <w:right w:w="0" w:type="dxa"/>
        </w:tblCellMar>
      </w:tblPr>
      <w:tblGrid>
        <w:gridCol w:w="484"/>
        <w:gridCol w:w="1000"/>
        <w:gridCol w:w="1420"/>
        <w:gridCol w:w="4996"/>
        <w:gridCol w:w="2812"/>
      </w:tblGrid>
      <w:tr>
        <w:tblPrEx>
          <w:tblCellMar>
            <w:top w:w="0" w:type="dxa"/>
            <w:left w:w="0" w:type="dxa"/>
            <w:bottom w:w="0" w:type="dxa"/>
            <w:right w:w="0" w:type="dxa"/>
          </w:tblCellMar>
        </w:tblPrEx>
        <w:trPr>
          <w:trHeight w:val="300" w:hRule="atLeast"/>
        </w:trPr>
        <w:tc>
          <w:tcPr>
            <w:tcW w:w="4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Cs w:val="21"/>
              </w:rPr>
            </w:pPr>
            <w:r>
              <w:rPr>
                <w:rFonts w:hint="eastAsia"/>
                <w:color w:val="auto"/>
              </w:rPr>
              <w:t>序号</w:t>
            </w:r>
          </w:p>
        </w:tc>
        <w:tc>
          <w:tcPr>
            <w:tcW w:w="242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Cs w:val="21"/>
              </w:rPr>
            </w:pPr>
            <w:r>
              <w:rPr>
                <w:rFonts w:hint="eastAsia"/>
                <w:color w:val="auto"/>
              </w:rPr>
              <w:t>评审因素及权重</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Cs w:val="21"/>
              </w:rPr>
            </w:pPr>
            <w:r>
              <w:rPr>
                <w:rFonts w:hint="eastAsia"/>
                <w:color w:val="auto"/>
              </w:rPr>
              <w:t>评分标准</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Cs w:val="21"/>
              </w:rPr>
            </w:pPr>
            <w:r>
              <w:rPr>
                <w:rFonts w:hint="eastAsia"/>
                <w:color w:val="auto"/>
              </w:rPr>
              <w:t>备注</w:t>
            </w:r>
          </w:p>
        </w:tc>
      </w:tr>
      <w:tr>
        <w:tblPrEx>
          <w:tblCellMar>
            <w:top w:w="0" w:type="dxa"/>
            <w:left w:w="0" w:type="dxa"/>
            <w:bottom w:w="0" w:type="dxa"/>
            <w:right w:w="0" w:type="dxa"/>
          </w:tblCellMar>
        </w:tblPrEx>
        <w:trPr>
          <w:trHeight w:val="90" w:hRule="atLeast"/>
        </w:trPr>
        <w:tc>
          <w:tcPr>
            <w:tcW w:w="4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Cs w:val="21"/>
              </w:rPr>
            </w:pPr>
            <w:r>
              <w:rPr>
                <w:rFonts w:hint="eastAsia"/>
                <w:color w:val="auto"/>
              </w:rPr>
              <w:t>1</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Cs w:val="21"/>
              </w:rPr>
            </w:pPr>
            <w:r>
              <w:rPr>
                <w:rFonts w:hint="eastAsia"/>
                <w:color w:val="auto"/>
                <w:lang w:val="en-US" w:eastAsia="zh-CN"/>
              </w:rPr>
              <w:t>报价30</w:t>
            </w:r>
            <w:r>
              <w:rPr>
                <w:rFonts w:hint="eastAsia"/>
                <w:color w:val="auto"/>
              </w:rPr>
              <w:t>%</w:t>
            </w:r>
          </w:p>
        </w:tc>
        <w:tc>
          <w:tcPr>
            <w:tcW w:w="14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Cs w:val="21"/>
                <w:lang w:bidi="ar"/>
              </w:rPr>
            </w:pPr>
            <w:r>
              <w:rPr>
                <w:rFonts w:hint="eastAsia"/>
                <w:color w:val="auto"/>
                <w:lang w:val="en-US" w:eastAsia="zh-CN"/>
              </w:rPr>
              <w:t>产品价格</w:t>
            </w:r>
            <w:r>
              <w:rPr>
                <w:rFonts w:hint="eastAsia"/>
                <w:color w:val="auto"/>
              </w:rPr>
              <w:t>（</w:t>
            </w:r>
            <w:r>
              <w:rPr>
                <w:rFonts w:hint="eastAsia"/>
                <w:color w:val="auto"/>
                <w:lang w:val="en-US" w:eastAsia="zh-CN"/>
              </w:rPr>
              <w:t>30</w:t>
            </w:r>
            <w:r>
              <w:rPr>
                <w:rFonts w:hint="eastAsia"/>
                <w:color w:val="auto"/>
              </w:rPr>
              <w:t>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szCs w:val="21"/>
              </w:rPr>
            </w:pPr>
            <w:r>
              <w:rPr>
                <w:rFonts w:hint="eastAsia" w:ascii="宋体" w:hAnsi="宋体" w:cs="宋体"/>
                <w:kern w:val="0"/>
                <w:sz w:val="22"/>
                <w:szCs w:val="22"/>
              </w:rPr>
              <w:t>满足</w:t>
            </w:r>
            <w:r>
              <w:rPr>
                <w:rFonts w:hint="eastAsia" w:ascii="宋体" w:hAnsi="宋体" w:cs="宋体"/>
                <w:kern w:val="0"/>
                <w:sz w:val="22"/>
                <w:szCs w:val="22"/>
                <w:lang w:eastAsia="zh-CN"/>
              </w:rPr>
              <w:t>比选</w:t>
            </w:r>
            <w:r>
              <w:rPr>
                <w:rFonts w:hint="eastAsia" w:ascii="宋体" w:hAnsi="宋体" w:cs="宋体"/>
                <w:kern w:val="0"/>
                <w:sz w:val="22"/>
                <w:szCs w:val="22"/>
              </w:rPr>
              <w:t>文件要求且</w:t>
            </w:r>
            <w:r>
              <w:rPr>
                <w:rFonts w:hint="eastAsia" w:ascii="宋体" w:hAnsi="宋体" w:cs="宋体"/>
                <w:kern w:val="0"/>
                <w:sz w:val="22"/>
                <w:szCs w:val="22"/>
                <w:lang w:eastAsia="zh-CN"/>
              </w:rPr>
              <w:t>比选申请</w:t>
            </w:r>
            <w:r>
              <w:rPr>
                <w:rFonts w:hint="eastAsia" w:ascii="宋体" w:hAnsi="宋体" w:cs="宋体"/>
                <w:kern w:val="0"/>
                <w:sz w:val="22"/>
                <w:szCs w:val="22"/>
              </w:rPr>
              <w:t>报价最低的为基准价，其价格分为满分。其他供应商的</w:t>
            </w:r>
            <w:r>
              <w:rPr>
                <w:rFonts w:hint="eastAsia" w:ascii="宋体" w:hAnsi="宋体" w:cs="宋体"/>
                <w:kern w:val="0"/>
                <w:sz w:val="22"/>
                <w:szCs w:val="22"/>
                <w:lang w:eastAsia="zh-CN"/>
              </w:rPr>
              <w:t>比选申请</w:t>
            </w:r>
            <w:r>
              <w:rPr>
                <w:rFonts w:hint="eastAsia" w:ascii="宋体" w:hAnsi="宋体" w:cs="宋体"/>
                <w:kern w:val="0"/>
                <w:sz w:val="22"/>
                <w:szCs w:val="22"/>
              </w:rPr>
              <w:t>价格分统一按照下列公式计算：</w:t>
            </w:r>
            <w:r>
              <w:rPr>
                <w:rFonts w:hint="eastAsia" w:ascii="宋体" w:hAnsi="宋体" w:cs="宋体"/>
                <w:kern w:val="0"/>
                <w:sz w:val="22"/>
                <w:szCs w:val="22"/>
                <w:lang w:eastAsia="zh-CN"/>
              </w:rPr>
              <w:t>比选申请</w:t>
            </w:r>
            <w:r>
              <w:rPr>
                <w:rFonts w:hint="eastAsia" w:ascii="宋体" w:hAnsi="宋体" w:cs="宋体"/>
                <w:kern w:val="0"/>
                <w:sz w:val="22"/>
                <w:szCs w:val="22"/>
              </w:rPr>
              <w:t>报价得分＝（基准价÷</w:t>
            </w:r>
            <w:r>
              <w:rPr>
                <w:rFonts w:hint="eastAsia" w:ascii="宋体" w:hAnsi="宋体" w:cs="宋体"/>
                <w:kern w:val="0"/>
                <w:sz w:val="22"/>
                <w:szCs w:val="22"/>
                <w:lang w:eastAsia="zh-CN"/>
              </w:rPr>
              <w:t>比选申请</w:t>
            </w:r>
            <w:r>
              <w:rPr>
                <w:rFonts w:hint="eastAsia" w:ascii="宋体" w:hAnsi="宋体" w:cs="宋体"/>
                <w:kern w:val="0"/>
                <w:sz w:val="22"/>
                <w:szCs w:val="22"/>
              </w:rPr>
              <w:t>报价）x</w:t>
            </w:r>
            <w:r>
              <w:rPr>
                <w:rFonts w:hint="eastAsia" w:ascii="宋体" w:hAnsi="宋体" w:cs="宋体"/>
                <w:kern w:val="0"/>
                <w:sz w:val="22"/>
                <w:szCs w:val="22"/>
                <w:lang w:val="en-US" w:eastAsia="zh-CN"/>
              </w:rPr>
              <w:t>30</w:t>
            </w:r>
            <w:r>
              <w:rPr>
                <w:rFonts w:hint="eastAsia" w:ascii="宋体" w:hAnsi="宋体" w:cs="宋体"/>
                <w:kern w:val="0"/>
                <w:sz w:val="22"/>
                <w:szCs w:val="22"/>
              </w:rPr>
              <w:t>。（</w:t>
            </w:r>
            <w:r>
              <w:rPr>
                <w:rFonts w:hint="eastAsia" w:ascii="宋体" w:hAnsi="宋体" w:cs="宋体"/>
                <w:kern w:val="0"/>
                <w:sz w:val="22"/>
                <w:szCs w:val="22"/>
                <w:lang w:eastAsia="zh-CN"/>
              </w:rPr>
              <w:t>比选申请</w:t>
            </w:r>
            <w:r>
              <w:rPr>
                <w:rFonts w:hint="eastAsia" w:ascii="宋体" w:hAnsi="宋体" w:cs="宋体"/>
                <w:kern w:val="0"/>
                <w:sz w:val="22"/>
                <w:szCs w:val="22"/>
              </w:rPr>
              <w:t>报价＝单价报价之和）</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Cs w:val="21"/>
              </w:rPr>
            </w:pPr>
          </w:p>
        </w:tc>
      </w:tr>
      <w:tr>
        <w:tblPrEx>
          <w:tblCellMar>
            <w:top w:w="0" w:type="dxa"/>
            <w:left w:w="0" w:type="dxa"/>
            <w:bottom w:w="0" w:type="dxa"/>
            <w:right w:w="0" w:type="dxa"/>
          </w:tblCellMar>
        </w:tblPrEx>
        <w:trPr>
          <w:trHeight w:val="840" w:hRule="atLeast"/>
        </w:trPr>
        <w:tc>
          <w:tcPr>
            <w:tcW w:w="484" w:type="dxa"/>
            <w:vMerge w:val="restart"/>
            <w:tcBorders>
              <w:top w:val="nil"/>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2</w:t>
            </w:r>
          </w:p>
        </w:tc>
        <w:tc>
          <w:tcPr>
            <w:tcW w:w="1000" w:type="dxa"/>
            <w:vMerge w:val="restart"/>
            <w:tcBorders>
              <w:top w:val="nil"/>
              <w:left w:val="single" w:color="000000" w:sz="4" w:space="0"/>
              <w:right w:val="single" w:color="000000" w:sz="4" w:space="0"/>
            </w:tcBorders>
            <w:noWrap w:val="0"/>
            <w:tcMar>
              <w:top w:w="10" w:type="dxa"/>
              <w:left w:w="10" w:type="dxa"/>
              <w:right w:w="10" w:type="dxa"/>
            </w:tcMar>
            <w:vAlign w:val="center"/>
          </w:tcPr>
          <w:p>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技术要求（60%）</w:t>
            </w:r>
          </w:p>
        </w:tc>
        <w:tc>
          <w:tcPr>
            <w:tcW w:w="14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kern w:val="0"/>
                <w:sz w:val="22"/>
                <w:szCs w:val="22"/>
              </w:rPr>
              <w:t>中药配方颗粒备案（</w:t>
            </w:r>
            <w:r>
              <w:rPr>
                <w:rFonts w:hint="eastAsia" w:ascii="宋体" w:hAnsi="宋体" w:cs="宋体"/>
                <w:kern w:val="0"/>
                <w:sz w:val="22"/>
                <w:szCs w:val="22"/>
                <w:lang w:val="en-US" w:eastAsia="zh-CN"/>
              </w:rPr>
              <w:t>5</w:t>
            </w:r>
            <w:r>
              <w:rPr>
                <w:rFonts w:hint="eastAsia" w:ascii="宋体" w:hAnsi="宋体" w:cs="宋体"/>
                <w:kern w:val="0"/>
                <w:sz w:val="22"/>
                <w:szCs w:val="22"/>
              </w:rPr>
              <w:t>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 w:val="22"/>
                <w:szCs w:val="22"/>
                <w:lang w:eastAsia="zh-CN"/>
              </w:rPr>
              <w:t>在</w:t>
            </w:r>
            <w:r>
              <w:rPr>
                <w:rFonts w:hint="eastAsia" w:ascii="宋体" w:hAnsi="宋体" w:cs="宋体"/>
                <w:color w:val="auto"/>
                <w:kern w:val="0"/>
                <w:sz w:val="22"/>
                <w:szCs w:val="22"/>
                <w:highlight w:val="none"/>
              </w:rPr>
              <w:t>四川省药品监督管理局备案国家标准或省级标准的配方颗粒个数</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400个以上得</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分，300-</w:t>
            </w:r>
            <w:r>
              <w:rPr>
                <w:rFonts w:ascii="宋体" w:hAnsi="宋体" w:cs="宋体"/>
                <w:color w:val="auto"/>
                <w:kern w:val="0"/>
                <w:sz w:val="22"/>
                <w:szCs w:val="22"/>
              </w:rPr>
              <w:t>4</w:t>
            </w:r>
            <w:r>
              <w:rPr>
                <w:rFonts w:hint="eastAsia" w:ascii="宋体" w:hAnsi="宋体" w:cs="宋体"/>
                <w:color w:val="auto"/>
                <w:kern w:val="0"/>
                <w:sz w:val="22"/>
                <w:szCs w:val="22"/>
              </w:rPr>
              <w:t>00个得</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分，200-</w:t>
            </w:r>
            <w:r>
              <w:rPr>
                <w:rFonts w:ascii="宋体" w:hAnsi="宋体" w:cs="宋体"/>
                <w:color w:val="auto"/>
                <w:kern w:val="0"/>
                <w:sz w:val="22"/>
                <w:szCs w:val="22"/>
              </w:rPr>
              <w:t>3</w:t>
            </w:r>
            <w:r>
              <w:rPr>
                <w:rFonts w:hint="eastAsia" w:ascii="宋体" w:hAnsi="宋体" w:cs="宋体"/>
                <w:color w:val="auto"/>
                <w:kern w:val="0"/>
                <w:sz w:val="22"/>
                <w:szCs w:val="22"/>
              </w:rPr>
              <w:t>00个得</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分，</w:t>
            </w:r>
            <w:r>
              <w:rPr>
                <w:rFonts w:hint="eastAsia" w:ascii="宋体" w:hAnsi="宋体" w:cs="宋体"/>
                <w:color w:val="auto"/>
                <w:kern w:val="0"/>
                <w:sz w:val="22"/>
                <w:szCs w:val="22"/>
                <w:lang w:val="en-US" w:eastAsia="zh-CN"/>
              </w:rPr>
              <w:t>2</w:t>
            </w:r>
            <w:r>
              <w:rPr>
                <w:rFonts w:ascii="宋体" w:hAnsi="宋体" w:cs="宋体"/>
                <w:color w:val="auto"/>
                <w:kern w:val="0"/>
                <w:sz w:val="22"/>
                <w:szCs w:val="22"/>
              </w:rPr>
              <w:t>0</w:t>
            </w:r>
            <w:r>
              <w:rPr>
                <w:rFonts w:hint="eastAsia" w:ascii="宋体" w:hAnsi="宋体" w:cs="宋体"/>
                <w:color w:val="auto"/>
                <w:kern w:val="0"/>
                <w:sz w:val="22"/>
                <w:szCs w:val="22"/>
              </w:rPr>
              <w:t>0个以下不得分。</w:t>
            </w:r>
            <w:r>
              <w:rPr>
                <w:rFonts w:hint="eastAsia" w:ascii="宋体" w:hAnsi="宋体" w:cs="宋体"/>
                <w:color w:val="auto"/>
                <w:kern w:val="0"/>
                <w:sz w:val="22"/>
                <w:szCs w:val="22"/>
                <w:lang w:eastAsia="zh-CN"/>
              </w:rPr>
              <w:t>提供</w:t>
            </w:r>
            <w:r>
              <w:rPr>
                <w:rFonts w:hint="eastAsia" w:ascii="宋体" w:hAnsi="宋体" w:cs="宋体"/>
                <w:color w:val="auto"/>
                <w:kern w:val="0"/>
                <w:sz w:val="22"/>
                <w:szCs w:val="22"/>
                <w:highlight w:val="none"/>
              </w:rPr>
              <w:t>四川省药品监督管理局</w:t>
            </w:r>
            <w:r>
              <w:rPr>
                <w:rFonts w:hint="eastAsia" w:ascii="宋体" w:hAnsi="宋体" w:cs="宋体"/>
                <w:color w:val="auto"/>
                <w:kern w:val="0"/>
                <w:sz w:val="22"/>
                <w:szCs w:val="22"/>
                <w:lang w:eastAsia="zh-CN"/>
              </w:rPr>
              <w:t>企业配方颗粒备案链接。</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Cs w:val="21"/>
              </w:rPr>
            </w:pPr>
            <w:r>
              <w:rPr>
                <w:rFonts w:hint="eastAsia"/>
                <w:color w:val="auto"/>
              </w:rPr>
              <w:t>。</w:t>
            </w:r>
          </w:p>
        </w:tc>
      </w:tr>
      <w:tr>
        <w:tblPrEx>
          <w:tblCellMar>
            <w:top w:w="0" w:type="dxa"/>
            <w:left w:w="0" w:type="dxa"/>
            <w:bottom w:w="0" w:type="dxa"/>
            <w:right w:w="0" w:type="dxa"/>
          </w:tblCellMar>
        </w:tblPrEx>
        <w:trPr>
          <w:trHeight w:val="300" w:hRule="atLeast"/>
        </w:trPr>
        <w:tc>
          <w:tcPr>
            <w:tcW w:w="484"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00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420"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Cs w:val="21"/>
                <w:lang w:bidi="ar"/>
              </w:rPr>
            </w:pPr>
            <w:r>
              <w:rPr>
                <w:rFonts w:hint="eastAsia"/>
                <w:color w:val="auto"/>
              </w:rPr>
              <w:t>信息管理系统</w:t>
            </w:r>
          </w:p>
          <w:p>
            <w:pPr>
              <w:widowControl/>
              <w:jc w:val="center"/>
              <w:textAlignment w:val="center"/>
              <w:rPr>
                <w:rFonts w:hint="eastAsia" w:ascii="宋体" w:hAnsi="宋体" w:cs="宋体"/>
                <w:color w:val="auto"/>
                <w:kern w:val="0"/>
                <w:szCs w:val="21"/>
                <w:lang w:bidi="ar"/>
              </w:rPr>
            </w:pPr>
            <w:r>
              <w:rPr>
                <w:rFonts w:hint="eastAsia"/>
                <w:color w:val="auto"/>
              </w:rPr>
              <w:t>（5分）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kern w:val="0"/>
                <w:szCs w:val="21"/>
                <w:lang w:bidi="ar"/>
              </w:rPr>
            </w:pPr>
            <w:r>
              <w:rPr>
                <w:rFonts w:hint="eastAsia"/>
                <w:color w:val="auto"/>
              </w:rPr>
              <w:t>根据供应商是否具有独立的计算机管理信息系统（至少包含能否覆盖所有药品的购进、储存、销售以及经营和质量控制的全过程等）进行评价，每缺失一方面扣1分，扣完为止。</w:t>
            </w:r>
          </w:p>
        </w:tc>
        <w:tc>
          <w:tcPr>
            <w:tcW w:w="2812"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kern w:val="0"/>
                <w:szCs w:val="21"/>
                <w:lang w:bidi="ar"/>
              </w:rPr>
            </w:pPr>
            <w:r>
              <w:rPr>
                <w:rFonts w:hint="eastAsia"/>
                <w:color w:val="auto"/>
              </w:rPr>
              <w:t>提供管理信息系统各对应模块截图。</w:t>
            </w:r>
          </w:p>
        </w:tc>
      </w:tr>
      <w:tr>
        <w:tblPrEx>
          <w:tblCellMar>
            <w:top w:w="0" w:type="dxa"/>
            <w:left w:w="0" w:type="dxa"/>
            <w:bottom w:w="0" w:type="dxa"/>
            <w:right w:w="0" w:type="dxa"/>
          </w:tblCellMar>
        </w:tblPrEx>
        <w:trPr>
          <w:trHeight w:val="840" w:hRule="atLeast"/>
        </w:trPr>
        <w:tc>
          <w:tcPr>
            <w:tcW w:w="484"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00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420"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Theme="minorEastAsia"/>
                <w:color w:val="auto"/>
                <w:lang w:eastAsia="zh-CN"/>
              </w:rPr>
            </w:pPr>
            <w:r>
              <w:rPr>
                <w:rFonts w:hint="eastAsia"/>
                <w:color w:val="auto"/>
              </w:rPr>
              <w:t>人员配置</w:t>
            </w:r>
          </w:p>
          <w:p>
            <w:pPr>
              <w:widowControl/>
              <w:jc w:val="center"/>
              <w:textAlignment w:val="center"/>
              <w:rPr>
                <w:rFonts w:ascii="宋体" w:hAnsi="宋体" w:cs="宋体"/>
                <w:color w:val="auto"/>
                <w:szCs w:val="21"/>
              </w:rPr>
            </w:pPr>
            <w:r>
              <w:rPr>
                <w:rFonts w:hint="eastAsia"/>
                <w:color w:val="auto"/>
              </w:rPr>
              <w:t>(5分）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szCs w:val="21"/>
              </w:rPr>
            </w:pPr>
            <w:r>
              <w:rPr>
                <w:rFonts w:hint="eastAsia"/>
                <w:color w:val="auto"/>
              </w:rPr>
              <w:t>为本项目每配备一名</w:t>
            </w:r>
            <w:r>
              <w:rPr>
                <w:rFonts w:hint="eastAsia"/>
                <w:color w:val="auto"/>
                <w:lang w:val="en-US" w:eastAsia="zh-CN"/>
              </w:rPr>
              <w:t>专项对接</w:t>
            </w:r>
            <w:r>
              <w:rPr>
                <w:rFonts w:hint="eastAsia"/>
                <w:color w:val="auto"/>
              </w:rPr>
              <w:t>服务人员得1分，本项最多得5分。</w:t>
            </w:r>
          </w:p>
        </w:tc>
        <w:tc>
          <w:tcPr>
            <w:tcW w:w="2812"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r>
      <w:tr>
        <w:tblPrEx>
          <w:tblCellMar>
            <w:top w:w="0" w:type="dxa"/>
            <w:left w:w="0" w:type="dxa"/>
            <w:bottom w:w="0" w:type="dxa"/>
            <w:right w:w="0" w:type="dxa"/>
          </w:tblCellMar>
        </w:tblPrEx>
        <w:trPr>
          <w:trHeight w:val="1960"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4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Cs w:val="21"/>
              </w:rPr>
            </w:pPr>
            <w:r>
              <w:rPr>
                <w:rFonts w:hint="eastAsia"/>
                <w:color w:val="auto"/>
              </w:rPr>
              <w:t>配送服务方案（</w:t>
            </w:r>
            <w:r>
              <w:rPr>
                <w:rFonts w:hint="eastAsia"/>
                <w:color w:val="auto"/>
                <w:lang w:val="en-US" w:eastAsia="zh-CN"/>
              </w:rPr>
              <w:t>30</w:t>
            </w:r>
            <w:r>
              <w:rPr>
                <w:rFonts w:hint="eastAsia"/>
                <w:color w:val="auto"/>
              </w:rPr>
              <w:t>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szCs w:val="21"/>
              </w:rPr>
            </w:pPr>
            <w:r>
              <w:rPr>
                <w:rFonts w:hint="eastAsia"/>
                <w:color w:val="auto"/>
              </w:rPr>
              <w:t>根据供应商针对所供应的货物所制定有针对性的服务方案进行评分：方案包含但不限于（1）药械采购、验收（2）配送流程（3）退换方案（4）防控商业贿赂计划（</w:t>
            </w:r>
            <w:r>
              <w:rPr>
                <w:rFonts w:hint="eastAsia"/>
                <w:color w:val="auto"/>
                <w:lang w:val="en-US" w:eastAsia="zh-CN"/>
              </w:rPr>
              <w:t>5</w:t>
            </w:r>
            <w:r>
              <w:rPr>
                <w:rFonts w:hint="eastAsia"/>
                <w:color w:val="auto"/>
              </w:rPr>
              <w:t>）实施或监督所供货品的现场搬运或入库（</w:t>
            </w:r>
            <w:r>
              <w:rPr>
                <w:rFonts w:hint="eastAsia"/>
                <w:color w:val="auto"/>
                <w:lang w:val="en-US" w:eastAsia="zh-CN"/>
              </w:rPr>
              <w:t>6</w:t>
            </w:r>
            <w:r>
              <w:rPr>
                <w:rFonts w:hint="eastAsia"/>
                <w:color w:val="auto"/>
              </w:rPr>
              <w:t>）能否拆零配送等全部内容。方案内容合理、可行、完整，得</w:t>
            </w:r>
            <w:r>
              <w:rPr>
                <w:rFonts w:hint="eastAsia"/>
                <w:color w:val="auto"/>
                <w:lang w:val="en-US" w:eastAsia="zh-CN"/>
              </w:rPr>
              <w:t>18</w:t>
            </w:r>
            <w:r>
              <w:rPr>
                <w:rFonts w:hint="eastAsia"/>
                <w:color w:val="auto"/>
              </w:rPr>
              <w:t>分；每缺少一项内容，或有一项内容不合理、不可行、不完整，扣</w:t>
            </w:r>
            <w:r>
              <w:rPr>
                <w:rFonts w:hint="eastAsia"/>
                <w:color w:val="auto"/>
                <w:lang w:val="en-US" w:eastAsia="zh-CN"/>
              </w:rPr>
              <w:t>3</w:t>
            </w:r>
            <w:r>
              <w:rPr>
                <w:rFonts w:hint="eastAsia"/>
                <w:color w:val="auto"/>
              </w:rPr>
              <w:t>分，扣完为止。</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r>
      <w:tr>
        <w:tblPrEx>
          <w:tblCellMar>
            <w:top w:w="0" w:type="dxa"/>
            <w:left w:w="0" w:type="dxa"/>
            <w:bottom w:w="0" w:type="dxa"/>
            <w:right w:w="0" w:type="dxa"/>
          </w:tblCellMar>
        </w:tblPrEx>
        <w:trPr>
          <w:trHeight w:val="1960" w:hRule="atLeast"/>
        </w:trPr>
        <w:tc>
          <w:tcPr>
            <w:tcW w:w="4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c>
          <w:tcPr>
            <w:tcW w:w="14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kern w:val="0"/>
                <w:szCs w:val="21"/>
                <w:lang w:bidi="ar"/>
              </w:rPr>
            </w:pPr>
            <w:r>
              <w:rPr>
                <w:rFonts w:hint="eastAsia"/>
                <w:color w:val="auto"/>
              </w:rPr>
              <w:t>增值服务方案</w:t>
            </w:r>
          </w:p>
          <w:p>
            <w:pPr>
              <w:widowControl/>
              <w:jc w:val="center"/>
              <w:textAlignment w:val="center"/>
              <w:rPr>
                <w:rFonts w:hint="eastAsia"/>
                <w:color w:val="auto"/>
              </w:rPr>
            </w:pPr>
            <w:r>
              <w:rPr>
                <w:rFonts w:hint="eastAsia"/>
                <w:color w:val="auto"/>
              </w:rPr>
              <w:t>（</w:t>
            </w:r>
            <w:r>
              <w:rPr>
                <w:rFonts w:hint="eastAsia"/>
                <w:color w:val="auto"/>
                <w:lang w:val="en-US" w:eastAsia="zh-CN"/>
              </w:rPr>
              <w:t>15</w:t>
            </w:r>
            <w:r>
              <w:rPr>
                <w:rFonts w:hint="eastAsia"/>
                <w:color w:val="auto"/>
              </w:rPr>
              <w:t>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2"/>
              <w:rPr>
                <w:rFonts w:hint="eastAsia"/>
                <w:color w:val="auto"/>
              </w:rPr>
            </w:pPr>
            <w:r>
              <w:rPr>
                <w:rFonts w:hint="eastAsia"/>
                <w:color w:val="auto"/>
              </w:rPr>
              <w:t>供应商提供的增值服务方案：（1）有利于业主方管理水平提升；（2）有利于业主方学术水平提升；（3）有利于业主方运营成本降低。服务方案操作性强、具有长期性、便于实施、合理可行得12分。每缺少一项内容，或有一项内容不合理、操作性差、不利于实施、可持续性差扣</w:t>
            </w:r>
            <w:r>
              <w:rPr>
                <w:rFonts w:hint="eastAsia"/>
                <w:color w:val="auto"/>
                <w:lang w:val="en-US" w:eastAsia="zh-CN"/>
              </w:rPr>
              <w:t>5</w:t>
            </w:r>
            <w:r>
              <w:rPr>
                <w:rFonts w:hint="eastAsia"/>
                <w:color w:val="auto"/>
              </w:rPr>
              <w:t>分，扣完为止。</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r>
      <w:tr>
        <w:tblPrEx>
          <w:tblCellMar>
            <w:top w:w="0" w:type="dxa"/>
            <w:left w:w="0" w:type="dxa"/>
            <w:bottom w:w="0" w:type="dxa"/>
            <w:right w:w="0" w:type="dxa"/>
          </w:tblCellMar>
        </w:tblPrEx>
        <w:trPr>
          <w:trHeight w:val="970" w:hRule="atLeast"/>
        </w:trPr>
        <w:tc>
          <w:tcPr>
            <w:tcW w:w="4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eastAsiaTheme="minorEastAsia"/>
                <w:color w:val="auto"/>
                <w:szCs w:val="21"/>
                <w:lang w:eastAsia="zh-CN"/>
              </w:rPr>
            </w:pPr>
            <w:r>
              <w:rPr>
                <w:rFonts w:hint="eastAsia"/>
                <w:color w:val="auto"/>
                <w:lang w:val="en-US" w:eastAsia="zh-CN"/>
              </w:rPr>
              <w:t>3</w:t>
            </w:r>
          </w:p>
        </w:tc>
        <w:tc>
          <w:tcPr>
            <w:tcW w:w="242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r>
              <w:rPr>
                <w:rFonts w:hint="eastAsia" w:ascii="宋体" w:hAnsi="宋体" w:cs="宋体"/>
                <w:kern w:val="0"/>
                <w:sz w:val="22"/>
                <w:szCs w:val="22"/>
              </w:rPr>
              <w:t>售后服务</w:t>
            </w:r>
            <w:r>
              <w:rPr>
                <w:rFonts w:hint="eastAsia" w:ascii="宋体" w:hAnsi="宋体" w:cs="宋体"/>
                <w:kern w:val="0"/>
                <w:sz w:val="22"/>
                <w:szCs w:val="22"/>
                <w:lang w:val="en-US" w:eastAsia="zh-CN"/>
              </w:rPr>
              <w:t>5%</w:t>
            </w:r>
            <w:r>
              <w:rPr>
                <w:rFonts w:hint="eastAsia" w:ascii="宋体" w:hAnsi="宋体" w:cs="宋体"/>
                <w:kern w:val="0"/>
                <w:sz w:val="22"/>
                <w:szCs w:val="22"/>
              </w:rPr>
              <w:t>（5分）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rPr>
                <w:rFonts w:hint="eastAsia" w:ascii="宋体" w:hAnsi="宋体" w:cs="宋体"/>
                <w:color w:val="auto"/>
                <w:szCs w:val="21"/>
              </w:rPr>
            </w:pPr>
            <w:r>
              <w:rPr>
                <w:rFonts w:hint="eastAsia"/>
                <w:sz w:val="22"/>
                <w:szCs w:val="22"/>
              </w:rPr>
              <w:t>2个工作小时内响应医</w:t>
            </w:r>
            <w:r>
              <w:rPr>
                <w:rFonts w:hint="eastAsia"/>
                <w:sz w:val="22"/>
                <w:szCs w:val="22"/>
                <w:lang w:eastAsia="zh-CN"/>
              </w:rPr>
              <w:t>院</w:t>
            </w:r>
            <w:r>
              <w:rPr>
                <w:rFonts w:hint="eastAsia"/>
                <w:sz w:val="22"/>
                <w:szCs w:val="22"/>
              </w:rPr>
              <w:t>订单，并从订单下达之时起，急需药品24小时内配送，一般药品72小时内配送，节假日照常配送，</w:t>
            </w:r>
            <w:r>
              <w:rPr>
                <w:rFonts w:hint="eastAsia"/>
                <w:sz w:val="22"/>
                <w:szCs w:val="22"/>
                <w:lang w:eastAsia="zh-CN"/>
              </w:rPr>
              <w:t>满足配送条件得</w:t>
            </w:r>
            <w:r>
              <w:rPr>
                <w:rFonts w:hint="eastAsia"/>
                <w:sz w:val="22"/>
                <w:szCs w:val="22"/>
                <w:lang w:val="en-US" w:eastAsia="zh-CN"/>
              </w:rPr>
              <w:t>5分</w:t>
            </w:r>
            <w:r>
              <w:rPr>
                <w:rFonts w:hint="eastAsia"/>
                <w:sz w:val="22"/>
                <w:szCs w:val="22"/>
                <w:lang w:eastAsia="zh-CN"/>
              </w:rPr>
              <w:t>，</w:t>
            </w:r>
            <w:r>
              <w:rPr>
                <w:rFonts w:hint="eastAsia" w:ascii="宋体" w:hAnsi="宋体" w:cs="宋体"/>
                <w:kern w:val="0"/>
                <w:sz w:val="22"/>
                <w:szCs w:val="22"/>
                <w:lang w:eastAsia="zh-CN"/>
              </w:rPr>
              <w:t>须提供承诺书。</w:t>
            </w:r>
          </w:p>
        </w:tc>
        <w:tc>
          <w:tcPr>
            <w:tcW w:w="28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ascii="宋体" w:hAnsi="宋体" w:cs="宋体"/>
                <w:color w:val="auto"/>
                <w:szCs w:val="21"/>
              </w:rPr>
            </w:pPr>
            <w:r>
              <w:rPr>
                <w:rFonts w:hint="eastAsia"/>
                <w:color w:val="auto"/>
              </w:rPr>
              <w:t>提供承诺函，否则不得分。</w:t>
            </w:r>
          </w:p>
        </w:tc>
      </w:tr>
      <w:tr>
        <w:tblPrEx>
          <w:tblCellMar>
            <w:top w:w="0" w:type="dxa"/>
            <w:left w:w="0" w:type="dxa"/>
            <w:bottom w:w="0" w:type="dxa"/>
            <w:right w:w="0" w:type="dxa"/>
          </w:tblCellMar>
        </w:tblPrEx>
        <w:trPr>
          <w:trHeight w:val="560" w:hRule="atLeast"/>
        </w:trPr>
        <w:tc>
          <w:tcPr>
            <w:tcW w:w="4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eastAsiaTheme="minorEastAsia"/>
                <w:color w:val="auto"/>
                <w:szCs w:val="21"/>
                <w:lang w:eastAsia="zh-CN"/>
              </w:rPr>
            </w:pPr>
            <w:r>
              <w:rPr>
                <w:rFonts w:hint="eastAsia"/>
                <w:color w:val="auto"/>
                <w:lang w:val="en-US" w:eastAsia="zh-CN"/>
              </w:rPr>
              <w:t>4</w:t>
            </w:r>
          </w:p>
        </w:tc>
        <w:tc>
          <w:tcPr>
            <w:tcW w:w="242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default" w:ascii="宋体" w:hAnsi="宋体" w:cs="宋体" w:eastAsiaTheme="minorEastAsia"/>
                <w:color w:val="auto"/>
                <w:kern w:val="0"/>
                <w:szCs w:val="21"/>
                <w:lang w:val="en-US" w:eastAsia="zh-CN" w:bidi="ar"/>
              </w:rPr>
            </w:pPr>
            <w:r>
              <w:rPr>
                <w:rFonts w:hint="eastAsia"/>
                <w:color w:val="auto"/>
              </w:rPr>
              <w:t>类似配送服务业绩</w:t>
            </w:r>
            <w:r>
              <w:rPr>
                <w:rFonts w:hint="eastAsia"/>
                <w:color w:val="auto"/>
                <w:lang w:val="en-US" w:eastAsia="zh-CN"/>
              </w:rPr>
              <w:t>3%</w:t>
            </w:r>
          </w:p>
          <w:p>
            <w:pPr>
              <w:widowControl/>
              <w:jc w:val="center"/>
              <w:textAlignment w:val="center"/>
              <w:rPr>
                <w:rFonts w:hint="default" w:ascii="宋体" w:hAnsi="宋体" w:cs="宋体" w:eastAsiaTheme="minorEastAsia"/>
                <w:color w:val="auto"/>
                <w:kern w:val="0"/>
                <w:szCs w:val="21"/>
                <w:lang w:val="en-US" w:eastAsia="zh-CN" w:bidi="ar"/>
              </w:rPr>
            </w:pPr>
            <w:r>
              <w:rPr>
                <w:rFonts w:hint="eastAsia"/>
                <w:color w:val="auto"/>
                <w:lang w:val="en-US" w:eastAsia="zh-CN"/>
              </w:rPr>
              <w:t>（3分）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szCs w:val="21"/>
              </w:rPr>
            </w:pPr>
            <w:r>
              <w:rPr>
                <w:rFonts w:hint="eastAsia"/>
                <w:color w:val="auto"/>
              </w:rPr>
              <w:t>2019年以来，每具有一个与采购人单位同等或以上级别的医院药品配送业绩，得</w:t>
            </w:r>
            <w:r>
              <w:rPr>
                <w:rFonts w:hint="eastAsia"/>
                <w:color w:val="auto"/>
                <w:lang w:val="en-US" w:eastAsia="zh-CN"/>
              </w:rPr>
              <w:t>1</w:t>
            </w:r>
            <w:r>
              <w:rPr>
                <w:rFonts w:hint="eastAsia"/>
                <w:color w:val="auto"/>
              </w:rPr>
              <w:t>分，最多得</w:t>
            </w:r>
            <w:r>
              <w:rPr>
                <w:rFonts w:hint="eastAsia"/>
                <w:color w:val="auto"/>
                <w:lang w:val="en-US" w:eastAsia="zh-CN"/>
              </w:rPr>
              <w:t>3</w:t>
            </w:r>
            <w:r>
              <w:rPr>
                <w:rFonts w:hint="eastAsia"/>
                <w:color w:val="auto"/>
              </w:rPr>
              <w:t>分</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hint="eastAsia" w:ascii="宋体" w:hAnsi="宋体" w:cs="宋体"/>
                <w:color w:val="auto"/>
                <w:szCs w:val="21"/>
              </w:rPr>
            </w:pPr>
            <w:r>
              <w:rPr>
                <w:rFonts w:hint="eastAsia"/>
                <w:color w:val="auto"/>
              </w:rPr>
              <w:t>提供客观有效证明文件复印件，原件备查。合同复印件或交易发票或阳光平台交易记录。</w:t>
            </w:r>
          </w:p>
        </w:tc>
      </w:tr>
      <w:tr>
        <w:tblPrEx>
          <w:tblCellMar>
            <w:top w:w="0" w:type="dxa"/>
            <w:left w:w="0" w:type="dxa"/>
            <w:bottom w:w="0" w:type="dxa"/>
            <w:right w:w="0" w:type="dxa"/>
          </w:tblCellMar>
        </w:tblPrEx>
        <w:trPr>
          <w:trHeight w:val="560" w:hRule="atLeast"/>
        </w:trPr>
        <w:tc>
          <w:tcPr>
            <w:tcW w:w="4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eastAsiaTheme="minorEastAsia"/>
                <w:color w:val="auto"/>
                <w:szCs w:val="21"/>
                <w:lang w:eastAsia="zh-CN"/>
              </w:rPr>
            </w:pPr>
            <w:r>
              <w:rPr>
                <w:rFonts w:hint="eastAsia"/>
                <w:color w:val="auto"/>
                <w:lang w:val="en-US" w:eastAsia="zh-CN"/>
              </w:rPr>
              <w:t>5</w:t>
            </w:r>
          </w:p>
        </w:tc>
        <w:tc>
          <w:tcPr>
            <w:tcW w:w="242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r>
              <w:rPr>
                <w:rFonts w:hint="eastAsia"/>
                <w:color w:val="auto"/>
              </w:rPr>
              <w:t>标书规范性</w:t>
            </w:r>
            <w:r>
              <w:rPr>
                <w:rFonts w:hint="eastAsia"/>
                <w:color w:val="auto"/>
                <w:lang w:val="en-US" w:eastAsia="zh-CN"/>
              </w:rPr>
              <w:t>2%</w:t>
            </w:r>
            <w:r>
              <w:rPr>
                <w:rFonts w:hint="eastAsia"/>
                <w:color w:val="auto"/>
              </w:rPr>
              <w:t>（2分）</w:t>
            </w:r>
          </w:p>
        </w:tc>
        <w:tc>
          <w:tcPr>
            <w:tcW w:w="49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auto"/>
                <w:szCs w:val="21"/>
              </w:rPr>
            </w:pPr>
            <w:r>
              <w:rPr>
                <w:rFonts w:hint="eastAsia"/>
                <w:color w:val="auto"/>
                <w:lang w:eastAsia="zh-CN"/>
              </w:rPr>
              <w:t>比选申请文件</w:t>
            </w:r>
            <w:r>
              <w:rPr>
                <w:rFonts w:hint="eastAsia"/>
                <w:color w:val="auto"/>
              </w:rPr>
              <w:t>制作规范，没有细微偏差情形的得2分；有一项细微偏差扣0.5分，直至该项分值扣完为止。</w:t>
            </w:r>
          </w:p>
        </w:tc>
        <w:tc>
          <w:tcPr>
            <w:tcW w:w="2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Cs w:val="21"/>
              </w:rPr>
            </w:pPr>
          </w:p>
        </w:tc>
      </w:tr>
    </w:tbl>
    <w:p>
      <w:pPr>
        <w:spacing w:before="80" w:after="80" w:line="360" w:lineRule="auto"/>
        <w:rPr>
          <w:rFonts w:cs="宋体" w:asciiTheme="minorEastAsia" w:hAnsiTheme="minorEastAsia"/>
          <w:color w:val="auto"/>
          <w:sz w:val="24"/>
          <w:szCs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w:t>
      </w:r>
      <w:r>
        <w:rPr>
          <w:rFonts w:hint="eastAsia" w:cs="宋体" w:asciiTheme="minorEastAsia" w:hAnsiTheme="minorEastAsia"/>
          <w:color w:val="auto"/>
          <w:sz w:val="24"/>
          <w:szCs w:val="24"/>
        </w:rPr>
        <w:t>注： 评分的取值按四舍五入法，保留小数点后两位。</w:t>
      </w:r>
      <w:r>
        <w:rPr>
          <w:rFonts w:cs="宋体" w:asciiTheme="minorEastAsia" w:hAnsiTheme="minorEastAsia"/>
          <w:color w:val="auto"/>
          <w:sz w:val="24"/>
          <w:szCs w:val="24"/>
        </w:rPr>
        <w:tab/>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计算错误的修改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5.1 比选申请文件中如果出现计算上或累加上的算术错误，可按以下原则进行修改：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（1）用数字表示的金额和用文字表示的金额不一致，应以文字表示的金额为准。</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（2）单价和数量的乘积与总价不一致时，以单价为准，并修正总价。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（3）单价金额小数点有明显错误的，以总价为准，修正单价。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5.2  按上述修正错误的方法调整的比选报价应对比选申请人具有约束力。如果比选申请人不接受修正后的价格，其比选将被拒绝。</w:t>
      </w:r>
    </w:p>
    <w:p>
      <w:pPr>
        <w:pStyle w:val="5"/>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评审专家在比选</w:t>
      </w:r>
      <w:r>
        <w:rPr>
          <w:rFonts w:hint="eastAsia" w:ascii="华文中宋" w:hAnsi="华文中宋" w:eastAsia="华文中宋" w:cs="宋体"/>
          <w:bCs w:val="0"/>
          <w:color w:val="auto"/>
          <w:sz w:val="24"/>
          <w:szCs w:val="24"/>
        </w:rPr>
        <w:t>评审</w:t>
      </w:r>
      <w:r>
        <w:rPr>
          <w:rFonts w:ascii="华文中宋" w:hAnsi="华文中宋" w:eastAsia="华文中宋" w:cs="宋体"/>
          <w:bCs w:val="0"/>
          <w:color w:val="auto"/>
          <w:sz w:val="24"/>
          <w:szCs w:val="24"/>
        </w:rPr>
        <w:t>活动中承担以下义务：</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6.1 遵纪守法，客观、公正、廉洁地履行职责。</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6.3 保守秘密。不得透露比选文件咨询情况，不得泄漏比选申请人的比选申请文件及知悉的商业秘密，不得向比选申请人透露评审情况。</w:t>
      </w:r>
    </w:p>
    <w:p>
      <w:pPr>
        <w:rPr>
          <w:rFonts w:ascii="宋体" w:hAnsi="宋体" w:eastAsia="宋体" w:cs="宋体"/>
          <w:color w:val="auto"/>
          <w:sz w:val="24"/>
        </w:rPr>
      </w:pPr>
      <w:r>
        <w:rPr>
          <w:rFonts w:ascii="宋体" w:hAnsi="宋体" w:eastAsia="宋体" w:cs="宋体"/>
          <w:color w:val="auto"/>
          <w:sz w:val="24"/>
        </w:rPr>
        <w:br w:type="page"/>
      </w:r>
    </w:p>
    <w:p>
      <w:pPr>
        <w:pStyle w:val="4"/>
        <w:spacing w:line="400" w:lineRule="exact"/>
        <w:jc w:val="center"/>
        <w:rPr>
          <w:rFonts w:hint="eastAsia"/>
          <w:sz w:val="36"/>
          <w:szCs w:val="36"/>
        </w:rPr>
      </w:pPr>
      <w:r>
        <w:rPr>
          <w:rFonts w:hint="eastAsia"/>
          <w:sz w:val="36"/>
          <w:szCs w:val="36"/>
        </w:rPr>
        <w:t>第</w:t>
      </w:r>
      <w:r>
        <w:rPr>
          <w:rFonts w:hint="eastAsia"/>
          <w:sz w:val="36"/>
          <w:szCs w:val="36"/>
          <w:lang w:val="en-US" w:eastAsia="zh-CN"/>
        </w:rPr>
        <w:t>六</w:t>
      </w:r>
      <w:r>
        <w:rPr>
          <w:rFonts w:hint="eastAsia"/>
          <w:sz w:val="36"/>
          <w:szCs w:val="36"/>
        </w:rPr>
        <w:t>章  采购合同（样例）</w:t>
      </w:r>
    </w:p>
    <w:p>
      <w:pPr>
        <w:spacing w:line="400" w:lineRule="exact"/>
        <w:rPr>
          <w:rFonts w:hint="eastAsia" w:ascii="宋体"/>
        </w:rPr>
      </w:pPr>
    </w:p>
    <w:p>
      <w:pPr>
        <w:jc w:val="center"/>
        <w:rPr>
          <w:rFonts w:hint="eastAsia" w:ascii="宋体" w:hAnsi="宋体"/>
          <w:b/>
          <w:bCs/>
          <w:sz w:val="28"/>
          <w:szCs w:val="28"/>
        </w:rPr>
      </w:pPr>
      <w:r>
        <w:rPr>
          <w:rFonts w:hint="eastAsia" w:ascii="宋体" w:hAnsi="宋体"/>
          <w:b/>
          <w:bCs/>
          <w:sz w:val="28"/>
          <w:szCs w:val="28"/>
        </w:rPr>
        <w:t>合同主要条款</w:t>
      </w:r>
    </w:p>
    <w:p>
      <w:pPr>
        <w:rPr>
          <w:rFonts w:ascii="宋体" w:hAnsi="宋体"/>
          <w:sz w:val="24"/>
        </w:rPr>
      </w:pPr>
    </w:p>
    <w:p>
      <w:pPr>
        <w:spacing w:line="360" w:lineRule="auto"/>
        <w:rPr>
          <w:rFonts w:hint="eastAsia" w:ascii="宋体" w:hAnsi="宋体"/>
          <w:sz w:val="24"/>
        </w:rPr>
      </w:pPr>
      <w:r>
        <w:rPr>
          <w:rFonts w:hint="eastAsia" w:ascii="宋体" w:hAnsi="宋体"/>
          <w:sz w:val="24"/>
        </w:rPr>
        <w:t xml:space="preserve">合同编号： </w:t>
      </w:r>
    </w:p>
    <w:p>
      <w:pPr>
        <w:spacing w:line="360" w:lineRule="auto"/>
        <w:rPr>
          <w:rFonts w:hint="eastAsia" w:ascii="宋体" w:hAnsi="宋体"/>
          <w:sz w:val="24"/>
        </w:rPr>
      </w:pPr>
      <w:r>
        <w:rPr>
          <w:rFonts w:hint="eastAsia" w:ascii="宋体" w:hAnsi="宋体"/>
          <w:sz w:val="24"/>
        </w:rPr>
        <w:t xml:space="preserve">签订地点： </w:t>
      </w:r>
    </w:p>
    <w:p>
      <w:pPr>
        <w:spacing w:line="360" w:lineRule="auto"/>
        <w:rPr>
          <w:rFonts w:hint="eastAsia" w:ascii="宋体" w:hAnsi="宋体"/>
          <w:sz w:val="24"/>
        </w:rPr>
      </w:pPr>
      <w:r>
        <w:rPr>
          <w:rFonts w:hint="eastAsia" w:ascii="宋体" w:hAnsi="宋体"/>
          <w:sz w:val="24"/>
        </w:rPr>
        <w:t>签订时间：      年     月    日。</w:t>
      </w:r>
    </w:p>
    <w:p>
      <w:pPr>
        <w:spacing w:line="360" w:lineRule="auto"/>
        <w:rPr>
          <w:rFonts w:hint="eastAsia" w:ascii="宋体" w:hAnsi="宋体"/>
          <w:sz w:val="24"/>
        </w:rPr>
      </w:pPr>
      <w:r>
        <w:rPr>
          <w:rFonts w:hint="eastAsia" w:ascii="宋体" w:hAnsi="宋体"/>
          <w:sz w:val="24"/>
        </w:rPr>
        <w:t xml:space="preserve">采购人（甲方）：  </w:t>
      </w:r>
    </w:p>
    <w:p>
      <w:pPr>
        <w:spacing w:line="360" w:lineRule="auto"/>
        <w:rPr>
          <w:rFonts w:hint="eastAsia" w:ascii="宋体" w:hAnsi="宋体"/>
          <w:sz w:val="24"/>
        </w:rPr>
      </w:pPr>
      <w:r>
        <w:rPr>
          <w:rFonts w:hint="eastAsia" w:ascii="宋体" w:hAnsi="宋体"/>
          <w:sz w:val="24"/>
        </w:rPr>
        <w:t>供应商（乙方）：</w:t>
      </w:r>
    </w:p>
    <w:p>
      <w:pPr>
        <w:spacing w:line="360" w:lineRule="auto"/>
        <w:rPr>
          <w:rFonts w:ascii="宋体" w:hAnsi="宋体"/>
          <w:sz w:val="24"/>
        </w:rPr>
      </w:pPr>
    </w:p>
    <w:p>
      <w:pPr>
        <w:spacing w:line="360" w:lineRule="auto"/>
        <w:ind w:firstLine="480" w:firstLineChars="200"/>
        <w:rPr>
          <w:rFonts w:hint="eastAsia" w:ascii="宋体" w:hAnsi="宋体"/>
          <w:sz w:val="24"/>
        </w:rPr>
      </w:pPr>
      <w:r>
        <w:rPr>
          <w:rFonts w:hint="eastAsia" w:ascii="宋体" w:hAnsi="宋体" w:cs="宋体"/>
          <w:sz w:val="24"/>
        </w:rPr>
        <w:t>根据《中华人民共和国</w:t>
      </w:r>
      <w:r>
        <w:rPr>
          <w:rFonts w:hint="eastAsia" w:ascii="宋体" w:hAnsi="宋体" w:cs="宋体"/>
          <w:sz w:val="24"/>
          <w:lang w:val="en-US" w:eastAsia="zh-CN"/>
        </w:rPr>
        <w:t>民法典</w:t>
      </w:r>
      <w:r>
        <w:rPr>
          <w:rFonts w:hint="eastAsia" w:ascii="宋体" w:hAnsi="宋体" w:cs="宋体"/>
          <w:sz w:val="24"/>
        </w:rPr>
        <w:t>》、《中华人民共和国政府采购法》、《中华人民共和国政府采购法实施条例》(国务院令第 658 号)</w:t>
      </w:r>
      <w:r>
        <w:rPr>
          <w:rFonts w:hint="eastAsia" w:ascii="宋体" w:hAnsi="宋体"/>
          <w:sz w:val="24"/>
        </w:rPr>
        <w:t>、</w:t>
      </w:r>
      <w:r>
        <w:rPr>
          <w:rFonts w:hint="eastAsia" w:ascii="宋体" w:hAnsi="宋体"/>
          <w:snapToGrid w:val="0"/>
          <w:color w:val="000000"/>
          <w:sz w:val="24"/>
        </w:rPr>
        <w:t>《</w:t>
      </w:r>
      <w:r>
        <w:rPr>
          <w:rFonts w:ascii="宋体" w:hAnsi="宋体"/>
          <w:snapToGrid w:val="0"/>
          <w:color w:val="000000"/>
          <w:sz w:val="24"/>
        </w:rPr>
        <w:t>2015</w:t>
      </w:r>
      <w:r>
        <w:rPr>
          <w:rFonts w:hint="eastAsia" w:ascii="宋体" w:hAnsi="宋体"/>
          <w:snapToGrid w:val="0"/>
          <w:color w:val="000000"/>
          <w:sz w:val="24"/>
        </w:rPr>
        <w:t>年四川省公立医院药品集中采购实施方案》和四川省药品、医用耗材集中采购有关文件等规定</w:t>
      </w:r>
      <w:r>
        <w:rPr>
          <w:rFonts w:hint="eastAsia" w:ascii="宋体" w:hAnsi="宋体"/>
          <w:sz w:val="24"/>
        </w:rPr>
        <w:t>，以及</w:t>
      </w:r>
      <w:r>
        <w:rPr>
          <w:rFonts w:hint="eastAsia" w:ascii="宋体"/>
          <w:b/>
          <w:sz w:val="24"/>
          <w:lang w:val="en-US" w:eastAsia="zh-CN"/>
        </w:rPr>
        <w:t>成都市成华区中医</w:t>
      </w:r>
      <w:r>
        <w:rPr>
          <w:rFonts w:hint="eastAsia" w:ascii="宋体"/>
          <w:b/>
          <w:sz w:val="24"/>
        </w:rPr>
        <w:t>医院</w:t>
      </w:r>
      <w:r>
        <w:rPr>
          <w:rFonts w:hint="eastAsia" w:ascii="宋体"/>
          <w:b/>
          <w:sz w:val="24"/>
          <w:lang w:eastAsia="zh-CN"/>
        </w:rPr>
        <w:t>中药配方颗粒</w:t>
      </w:r>
      <w:r>
        <w:rPr>
          <w:rFonts w:hint="eastAsia" w:ascii="宋体"/>
          <w:b/>
          <w:sz w:val="24"/>
        </w:rPr>
        <w:t>配送服务商</w:t>
      </w:r>
      <w:r>
        <w:rPr>
          <w:rFonts w:hint="eastAsia" w:ascii="宋体" w:hAnsi="宋体"/>
          <w:sz w:val="24"/>
        </w:rPr>
        <w:t>采购项目（项目编号：xxxx号）的《</w:t>
      </w:r>
      <w:r>
        <w:rPr>
          <w:rFonts w:hint="eastAsia" w:ascii="宋体" w:hAnsi="宋体"/>
          <w:sz w:val="24"/>
          <w:lang w:val="en-US" w:eastAsia="zh-CN"/>
        </w:rPr>
        <w:t>比选</w:t>
      </w:r>
      <w:r>
        <w:rPr>
          <w:rFonts w:hint="eastAsia" w:ascii="宋体" w:hAnsi="宋体"/>
          <w:sz w:val="24"/>
        </w:rPr>
        <w:t>文件》，乙方的《</w:t>
      </w:r>
      <w:r>
        <w:rPr>
          <w:rFonts w:hint="eastAsia" w:ascii="宋体" w:hAnsi="宋体"/>
          <w:sz w:val="24"/>
          <w:lang w:val="en-US" w:eastAsia="zh-CN"/>
        </w:rPr>
        <w:t>比选申请</w:t>
      </w:r>
      <w:r>
        <w:rPr>
          <w:rFonts w:hint="eastAsia" w:ascii="宋体" w:hAnsi="宋体"/>
          <w:sz w:val="24"/>
        </w:rPr>
        <w:t>文件》及《</w:t>
      </w:r>
      <w:r>
        <w:rPr>
          <w:rFonts w:hint="eastAsia" w:ascii="宋体" w:hAnsi="宋体"/>
          <w:sz w:val="24"/>
          <w:lang w:eastAsia="zh-CN"/>
        </w:rPr>
        <w:t>中选</w:t>
      </w:r>
      <w:r>
        <w:rPr>
          <w:rFonts w:hint="eastAsia" w:ascii="宋体" w:hAnsi="宋体"/>
          <w:sz w:val="24"/>
        </w:rPr>
        <w:t>通知书》，甲、乙双方同意签订本合同。详细技术说明及其他有关合同项目的特定信息由合同附件予以说明，合同附件及本项目的《</w:t>
      </w:r>
      <w:r>
        <w:rPr>
          <w:rFonts w:hint="eastAsia" w:ascii="宋体" w:hAnsi="宋体"/>
          <w:sz w:val="24"/>
          <w:lang w:eastAsia="zh-CN"/>
        </w:rPr>
        <w:t>比选</w:t>
      </w:r>
      <w:r>
        <w:rPr>
          <w:rFonts w:hint="eastAsia" w:ascii="宋体" w:hAnsi="宋体"/>
          <w:sz w:val="24"/>
        </w:rPr>
        <w:t>文件》、《</w:t>
      </w:r>
      <w:r>
        <w:rPr>
          <w:rFonts w:hint="eastAsia" w:ascii="宋体" w:hAnsi="宋体"/>
          <w:sz w:val="24"/>
          <w:lang w:eastAsia="zh-CN"/>
        </w:rPr>
        <w:t>比选申请</w:t>
      </w:r>
      <w:r>
        <w:rPr>
          <w:rFonts w:hint="eastAsia" w:ascii="宋体" w:hAnsi="宋体"/>
          <w:sz w:val="24"/>
        </w:rPr>
        <w:t>文件》、《</w:t>
      </w:r>
      <w:r>
        <w:rPr>
          <w:rFonts w:hint="eastAsia" w:ascii="宋体" w:hAnsi="宋体"/>
          <w:sz w:val="24"/>
          <w:lang w:eastAsia="zh-CN"/>
        </w:rPr>
        <w:t>中选</w:t>
      </w:r>
      <w:r>
        <w:rPr>
          <w:rFonts w:hint="eastAsia" w:ascii="宋体" w:hAnsi="宋体"/>
          <w:sz w:val="24"/>
        </w:rPr>
        <w:t xml:space="preserve">通知书》等均为本合同的组成部分。 </w:t>
      </w:r>
    </w:p>
    <w:p>
      <w:pPr>
        <w:spacing w:line="360" w:lineRule="auto"/>
        <w:rPr>
          <w:rFonts w:hint="eastAsia" w:ascii="宋体" w:hAnsi="宋体"/>
          <w:b/>
          <w:bCs/>
          <w:sz w:val="24"/>
        </w:rPr>
      </w:pPr>
      <w:r>
        <w:rPr>
          <w:rFonts w:hint="eastAsia" w:ascii="宋体" w:hAnsi="宋体"/>
          <w:b/>
          <w:bCs/>
          <w:sz w:val="24"/>
        </w:rPr>
        <w:t>第一条</w:t>
      </w:r>
      <w:r>
        <w:rPr>
          <w:rFonts w:hint="eastAsia" w:ascii="宋体" w:hAnsi="宋体"/>
          <w:b/>
          <w:bCs/>
          <w:sz w:val="24"/>
        </w:rPr>
        <w:tab/>
      </w:r>
      <w:r>
        <w:rPr>
          <w:rFonts w:hint="eastAsia" w:ascii="宋体" w:hAnsi="宋体"/>
          <w:b/>
          <w:bCs/>
          <w:sz w:val="24"/>
        </w:rPr>
        <w:t>项目基本情况</w:t>
      </w:r>
    </w:p>
    <w:p>
      <w:pPr>
        <w:spacing w:line="360" w:lineRule="auto"/>
        <w:ind w:firstLine="480" w:firstLineChars="200"/>
        <w:rPr>
          <w:rFonts w:hint="eastAsia" w:ascii="宋体" w:hAnsi="宋体"/>
          <w:sz w:val="24"/>
        </w:rPr>
      </w:pPr>
      <w:r>
        <w:rPr>
          <w:rFonts w:hint="eastAsia" w:ascii="宋体"/>
          <w:bCs/>
          <w:sz w:val="24"/>
        </w:rPr>
        <w:t>成都市</w:t>
      </w:r>
      <w:r>
        <w:rPr>
          <w:rFonts w:hint="eastAsia" w:ascii="宋体"/>
          <w:bCs/>
          <w:sz w:val="24"/>
          <w:lang w:val="en-US" w:eastAsia="zh-CN"/>
        </w:rPr>
        <w:t>成华区中医医院</w:t>
      </w:r>
      <w:r>
        <w:rPr>
          <w:rFonts w:hint="eastAsia" w:ascii="宋体"/>
          <w:bCs/>
          <w:sz w:val="24"/>
          <w:lang w:eastAsia="zh-CN"/>
        </w:rPr>
        <w:t>中药配方颗粒</w:t>
      </w:r>
      <w:r>
        <w:rPr>
          <w:rFonts w:hint="eastAsia" w:ascii="宋体"/>
          <w:bCs/>
          <w:sz w:val="24"/>
        </w:rPr>
        <w:t>配送服务商</w:t>
      </w:r>
      <w:r>
        <w:rPr>
          <w:rFonts w:hint="eastAsia" w:ascii="宋体" w:hAnsi="宋体"/>
          <w:bCs/>
          <w:sz w:val="24"/>
        </w:rPr>
        <w:t>采购项目</w:t>
      </w:r>
      <w:r>
        <w:rPr>
          <w:rFonts w:hint="eastAsia" w:ascii="宋体" w:hAnsi="宋体"/>
          <w:sz w:val="24"/>
        </w:rPr>
        <w:t>（项目编号：xxxx号）概述：采购人采购</w:t>
      </w:r>
      <w:r>
        <w:rPr>
          <w:rFonts w:hint="eastAsia" w:ascii="宋体" w:hAnsi="宋体"/>
          <w:sz w:val="24"/>
          <w:lang w:eastAsia="zh-CN"/>
        </w:rPr>
        <w:t>中药配方颗粒</w:t>
      </w:r>
      <w:r>
        <w:rPr>
          <w:rFonts w:hint="eastAsia" w:ascii="宋体" w:hAnsi="宋体"/>
          <w:sz w:val="24"/>
        </w:rPr>
        <w:t>配送服务商，负责采购人</w:t>
      </w:r>
      <w:r>
        <w:rPr>
          <w:rFonts w:hint="eastAsia" w:ascii="宋体" w:hAnsi="宋体"/>
          <w:sz w:val="24"/>
          <w:lang w:val="en-US" w:eastAsia="zh-CN"/>
        </w:rPr>
        <w:t>中药配方颗粒</w:t>
      </w:r>
      <w:r>
        <w:rPr>
          <w:rFonts w:hint="eastAsia" w:ascii="宋体" w:hAnsi="宋体"/>
          <w:sz w:val="24"/>
        </w:rPr>
        <w:t>的配送服务。</w:t>
      </w:r>
    </w:p>
    <w:p>
      <w:pPr>
        <w:spacing w:line="360" w:lineRule="auto"/>
        <w:rPr>
          <w:rFonts w:hint="eastAsia" w:ascii="宋体" w:hAnsi="宋体"/>
          <w:b/>
          <w:bCs/>
          <w:sz w:val="24"/>
        </w:rPr>
      </w:pPr>
      <w:r>
        <w:rPr>
          <w:rFonts w:hint="eastAsia" w:ascii="宋体" w:hAnsi="宋体"/>
          <w:b/>
          <w:bCs/>
          <w:sz w:val="24"/>
        </w:rPr>
        <w:t>第二条</w:t>
      </w:r>
      <w:r>
        <w:rPr>
          <w:rFonts w:hint="eastAsia" w:ascii="宋体" w:hAnsi="宋体"/>
          <w:b/>
          <w:bCs/>
          <w:sz w:val="24"/>
        </w:rPr>
        <w:tab/>
      </w:r>
      <w:r>
        <w:rPr>
          <w:rFonts w:hint="eastAsia" w:ascii="宋体" w:hAnsi="宋体"/>
          <w:b/>
          <w:bCs/>
          <w:sz w:val="24"/>
        </w:rPr>
        <w:t>合同期限</w:t>
      </w:r>
    </w:p>
    <w:p>
      <w:pPr>
        <w:spacing w:line="360" w:lineRule="auto"/>
        <w:ind w:firstLine="480" w:firstLineChars="200"/>
        <w:rPr>
          <w:rFonts w:hint="eastAsia" w:ascii="宋体" w:hAnsi="宋体"/>
          <w:sz w:val="24"/>
        </w:rPr>
      </w:pPr>
      <w:r>
        <w:rPr>
          <w:rFonts w:hint="eastAsia" w:ascii="宋体" w:hAnsi="宋体"/>
          <w:sz w:val="24"/>
        </w:rPr>
        <w:t>服务年限</w:t>
      </w:r>
      <w:r>
        <w:rPr>
          <w:rFonts w:hint="eastAsia" w:ascii="宋体" w:hAnsi="宋体"/>
          <w:sz w:val="24"/>
          <w:u w:val="single"/>
        </w:rPr>
        <w:t xml:space="preserve">      </w:t>
      </w:r>
      <w:r>
        <w:rPr>
          <w:rFonts w:hint="eastAsia" w:ascii="宋体" w:hAnsi="宋体"/>
          <w:sz w:val="24"/>
        </w:rPr>
        <w:t>年（自签订合同之日起计算）。</w:t>
      </w:r>
    </w:p>
    <w:p>
      <w:pPr>
        <w:spacing w:line="360" w:lineRule="auto"/>
        <w:rPr>
          <w:rFonts w:hint="eastAsia" w:ascii="宋体" w:hAnsi="宋体"/>
          <w:b/>
          <w:bCs/>
          <w:sz w:val="24"/>
        </w:rPr>
      </w:pPr>
      <w:r>
        <w:rPr>
          <w:rFonts w:hint="eastAsia" w:ascii="宋体" w:hAnsi="宋体"/>
          <w:b/>
          <w:bCs/>
          <w:sz w:val="24"/>
        </w:rPr>
        <w:t>第三条</w:t>
      </w:r>
      <w:r>
        <w:rPr>
          <w:rFonts w:hint="eastAsia" w:ascii="宋体" w:hAnsi="宋体"/>
          <w:b/>
          <w:bCs/>
          <w:sz w:val="24"/>
        </w:rPr>
        <w:tab/>
      </w:r>
      <w:r>
        <w:rPr>
          <w:rFonts w:hint="eastAsia" w:ascii="宋体" w:hAnsi="宋体"/>
          <w:b/>
          <w:bCs/>
          <w:sz w:val="24"/>
        </w:rPr>
        <w:t>付款方式</w:t>
      </w:r>
    </w:p>
    <w:p>
      <w:pPr>
        <w:spacing w:line="360" w:lineRule="auto"/>
        <w:ind w:firstLine="480" w:firstLineChars="200"/>
        <w:rPr>
          <w:rFonts w:hint="eastAsia" w:ascii="宋体" w:hAnsi="宋体"/>
          <w:sz w:val="24"/>
        </w:rPr>
      </w:pPr>
      <w:r>
        <w:rPr>
          <w:rFonts w:hint="eastAsia" w:ascii="宋体" w:hAnsi="宋体"/>
          <w:sz w:val="24"/>
        </w:rPr>
        <w:t>按医院付款程序，乙方将货物运输到甲方法定地点交付验收合格并开具国家税法规定的正规、有效税务发票后在90天内，由甲方向乙方（及其就近服务机构）支付相应货款。货款结算金额以甲方签字的货品交接清单或及税务发票为准。</w:t>
      </w:r>
    </w:p>
    <w:p>
      <w:pPr>
        <w:spacing w:line="360" w:lineRule="auto"/>
        <w:rPr>
          <w:rFonts w:hint="eastAsia" w:ascii="宋体" w:hAnsi="宋体"/>
          <w:b/>
          <w:bCs/>
          <w:sz w:val="24"/>
        </w:rPr>
      </w:pPr>
      <w:r>
        <w:rPr>
          <w:rFonts w:hint="eastAsia" w:ascii="宋体" w:hAnsi="宋体"/>
          <w:b/>
          <w:bCs/>
          <w:sz w:val="24"/>
        </w:rPr>
        <w:t>第四条</w:t>
      </w:r>
      <w:r>
        <w:rPr>
          <w:rFonts w:hint="eastAsia" w:ascii="宋体" w:hAnsi="宋体"/>
          <w:b/>
          <w:bCs/>
          <w:sz w:val="24"/>
        </w:rPr>
        <w:tab/>
      </w:r>
      <w:r>
        <w:rPr>
          <w:rFonts w:hint="eastAsia" w:ascii="宋体" w:hAnsi="宋体"/>
          <w:b/>
          <w:bCs/>
          <w:sz w:val="24"/>
        </w:rPr>
        <w:t>服务内容与质量标准</w:t>
      </w:r>
    </w:p>
    <w:p>
      <w:pPr>
        <w:spacing w:line="360" w:lineRule="auto"/>
        <w:ind w:firstLine="241" w:firstLineChars="100"/>
        <w:rPr>
          <w:rFonts w:hint="eastAsia" w:ascii="宋体" w:hAnsi="宋体" w:cs="宋体"/>
          <w:b/>
          <w:bCs/>
          <w:sz w:val="24"/>
        </w:rPr>
      </w:pPr>
      <w:r>
        <w:rPr>
          <w:rFonts w:hint="eastAsia" w:ascii="宋体" w:hAnsi="宋体" w:cs="宋体"/>
          <w:b/>
          <w:bCs/>
          <w:sz w:val="24"/>
        </w:rPr>
        <w:t>（一）配送范围</w:t>
      </w:r>
    </w:p>
    <w:p>
      <w:pPr>
        <w:spacing w:line="360" w:lineRule="auto"/>
        <w:ind w:firstLine="240" w:firstLineChars="100"/>
        <w:rPr>
          <w:rFonts w:hint="default" w:ascii="宋体" w:hAnsi="宋体" w:cs="宋体"/>
          <w:sz w:val="24"/>
          <w:lang w:val="en-US" w:eastAsia="zh-CN"/>
        </w:rPr>
      </w:pPr>
      <w:r>
        <w:rPr>
          <w:rFonts w:hint="eastAsia" w:ascii="宋体" w:hAnsi="宋体" w:cs="宋体"/>
          <w:sz w:val="24"/>
          <w:lang w:val="en-US" w:eastAsia="zh-CN"/>
        </w:rPr>
        <w:t>中药配方颗粒</w:t>
      </w:r>
    </w:p>
    <w:p>
      <w:pPr>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（二）配送价格</w:t>
      </w:r>
    </w:p>
    <w:p>
      <w:pPr>
        <w:spacing w:line="360" w:lineRule="auto"/>
        <w:ind w:firstLine="480" w:firstLineChars="200"/>
        <w:rPr>
          <w:rFonts w:hint="eastAsia" w:ascii="宋体" w:hAnsi="宋体" w:cs="宋体"/>
          <w:sz w:val="24"/>
        </w:rPr>
      </w:pPr>
      <w:r>
        <w:rPr>
          <w:rFonts w:hint="eastAsia" w:ascii="宋体" w:hAnsi="宋体" w:cs="宋体"/>
          <w:sz w:val="24"/>
        </w:rPr>
        <w:t>1.集中挂网阳光采购部分：属于四川省医疗机构阳光采购目录内的在用产品，按《四川省药品、器械集中挂网阳光采购管理办法》进行采购和配送，其采购价格不得高于阳光采购平台价格。</w:t>
      </w:r>
    </w:p>
    <w:p>
      <w:pPr>
        <w:spacing w:line="360" w:lineRule="auto"/>
        <w:ind w:firstLine="480" w:firstLineChars="200"/>
        <w:rPr>
          <w:rFonts w:hint="eastAsia" w:ascii="宋体" w:hAnsi="宋体" w:cs="宋体"/>
          <w:sz w:val="24"/>
        </w:rPr>
      </w:pPr>
      <w:r>
        <w:rPr>
          <w:rFonts w:hint="eastAsia" w:ascii="宋体" w:hAnsi="宋体" w:cs="宋体"/>
          <w:sz w:val="24"/>
        </w:rPr>
        <w:t>2.非集中挂网阳光采购产品：按照药械相关政策规定执行。临床科室申请的新购品种（品规、型号），其配送价格由采购人按照内部采购管理制度和程序进行确定。</w:t>
      </w:r>
    </w:p>
    <w:p>
      <w:pPr>
        <w:spacing w:line="360" w:lineRule="auto"/>
        <w:ind w:firstLine="480" w:firstLineChars="200"/>
        <w:rPr>
          <w:rFonts w:hint="eastAsia" w:ascii="宋体" w:hAnsi="宋体" w:cs="宋体"/>
          <w:sz w:val="24"/>
        </w:rPr>
      </w:pPr>
      <w:r>
        <w:rPr>
          <w:rFonts w:hint="eastAsia" w:ascii="宋体" w:hAnsi="宋体" w:cs="宋体"/>
          <w:sz w:val="24"/>
        </w:rPr>
        <w:t>3.当遇到上级行政管理部门有新的规定或要求时，按新的规定或要求执行。</w:t>
      </w:r>
    </w:p>
    <w:p>
      <w:pPr>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（三）配送要求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1.产品若为四川省集中挂网阳光采购目录内的产品，乙方必须是集中挂网阳光采购系统的配送企业。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2.乙方必须严格按照</w:t>
      </w:r>
      <w:r>
        <w:rPr>
          <w:rFonts w:hint="eastAsia" w:ascii="宋体" w:hAnsi="宋体" w:cs="宋体"/>
          <w:color w:val="000000"/>
          <w:sz w:val="24"/>
          <w:lang w:eastAsia="zh-CN"/>
        </w:rPr>
        <w:t>比选</w:t>
      </w:r>
      <w:r>
        <w:rPr>
          <w:rFonts w:hint="eastAsia" w:ascii="宋体" w:hAnsi="宋体" w:cs="宋体"/>
          <w:color w:val="000000"/>
          <w:sz w:val="24"/>
        </w:rPr>
        <w:t>文件要求和</w:t>
      </w:r>
      <w:r>
        <w:rPr>
          <w:rFonts w:hint="eastAsia" w:ascii="宋体" w:hAnsi="宋体" w:cs="宋体"/>
          <w:color w:val="000000"/>
          <w:sz w:val="24"/>
          <w:lang w:eastAsia="zh-CN"/>
        </w:rPr>
        <w:t>比选申请</w:t>
      </w:r>
      <w:r>
        <w:rPr>
          <w:rFonts w:hint="eastAsia" w:ascii="宋体" w:hAnsi="宋体" w:cs="宋体"/>
          <w:color w:val="000000"/>
          <w:sz w:val="24"/>
        </w:rPr>
        <w:t>文件中的承诺提供配送服务。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3.乙方需按采购人实际需求按时提供全面、合格的货物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3.1乙方拟提供的所有货物产地其来源地均应为中华人民共和国或与中华人民共和国有官方贸易关系的国家或地区。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3.2乙方提供的货物必须符合已颁布的相关国家标准或国际标准的有关条款。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3.3已纳入四川集中挂网阳光采购目录内的产品，必须实行集中挂网阳光采购；乙方必须保证其配送产品阳光平台数据的顺利上报。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4.配送时间、地点、方式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4.1乙方需配有相应产品存放库房，并保证有适当的备货，以确保采购人需要。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4.2配送时间：乙方在收到采购人下达的采购计划后，需按双方约定的时限要求配送到位，不得延误采购人临床医疗工作。常规产品应在 3 个工作日内送到甲方指定的地点，临时采购计划应在双方约定的时间内供货。急抢救药品，乙方在收到采购计划后须在规定时间内供货到位。所有货物的交货日期以运抵甲方收货日期为准。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5.配送地点：采购人指定的地点。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6.乙方需负责产品的运输、现场搬运和入库，同时办理验收入库手续；乙方负责办理运输和保险，有关运输和保险的一切费用以及运输过程中的风险由乙方承担。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7.乙方在配送产品期间，需按照相关管理规定向采购人相关管理部门提供相关的检测报告。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8.乙方有专人负责配送服务和质量跟踪。</w:t>
      </w:r>
    </w:p>
    <w:p>
      <w:pPr>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（四）质量保证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1.乙方供应的产品必须符合国家药品、耗材监督管理部门规定的质量标准，确保临床使用安全有效。乙方保证所供产品符合政府相关采购、销售管理规定。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2.乙方供应的产品有效期应满足采购人的要求。若有效期内出现质量问题，须按照质量承诺，由乙方负责退货；因质量问题导致相关医疗纠纷或经济赔偿，由乙方承担相应的经济和法律责任。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3.乙方供应的产品应按标准保护措施进行包装，对转运设备及装具进行温度监督（对冷链产品）以防止产品在转运中损坏或变质，确保产品安全无损运抵指定地点。对于破损产品需按</w:t>
      </w:r>
      <w:r>
        <w:rPr>
          <w:rFonts w:hint="eastAsia" w:ascii="宋体" w:hAnsi="宋体" w:cs="宋体"/>
          <w:color w:val="000000"/>
          <w:sz w:val="24"/>
          <w:lang w:eastAsia="zh-CN"/>
        </w:rPr>
        <w:t>比选</w:t>
      </w:r>
      <w:r>
        <w:rPr>
          <w:rFonts w:hint="eastAsia" w:ascii="宋体" w:hAnsi="宋体" w:cs="宋体"/>
          <w:color w:val="000000"/>
          <w:sz w:val="24"/>
        </w:rPr>
        <w:t>方的要求进行及时调换，配送冷链产品的车辆、装具人员应取得相应资质。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4.乙方供应产品时，应保证乙方、产品制造商及产品的相关资质证件齐全，并及时到采购人指定部门办理相关资质证件更新备案手续。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5.对于各种原因导致的不合格产品、药监部门规定不允许销售的产品、采购人规定的近效期未使用完的产品，由乙方负责退换货，不及时退换导致过期的，由乙方负责。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6.乙方应保证采购人在使用合同产品时免受第三方提出的有关专利权、商标权、销售权或保护期等方面的权利要求。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7.对于有规定要求的医用耗材，应办理检定手续并取得合格证明材料后，方可运送到医院，成本由乙方承担。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8.其他未尽事宜在双方合同中约定。</w:t>
      </w:r>
    </w:p>
    <w:p>
      <w:pPr>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（五）服务要求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1.乙方需向采购人提供及时有效的技术支持，包括但不限于提供与产品使用相关的学习和培训机会。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2.乙方需在医院成立驻院项目组，为医院提供专业化的对口服务。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3.乙方按照药监部门要求，完成医院药械库房的规划，实现医疗器械库房货位管理。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4.乙方需向采购人提供其他相关的增值服务。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5.经</w:t>
      </w:r>
      <w:r>
        <w:rPr>
          <w:rFonts w:hint="eastAsia" w:ascii="宋体" w:hAnsi="宋体" w:cs="宋体"/>
          <w:color w:val="000000"/>
          <w:sz w:val="24"/>
          <w:lang w:eastAsia="zh-CN"/>
        </w:rPr>
        <w:t>比选</w:t>
      </w:r>
      <w:r>
        <w:rPr>
          <w:rFonts w:hint="eastAsia" w:ascii="宋体" w:hAnsi="宋体" w:cs="宋体"/>
          <w:color w:val="000000"/>
          <w:sz w:val="24"/>
        </w:rPr>
        <w:t>并签订合同后，若合同与国家相关政策相抵触或因国家、省、市相关政策调整导致合同不能继续执行，双方则自动终止合同，由此导致的损失各自承担。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乙方在购销活动中必须严格恪守国家、省、市有关廉政建设相关规定，在签订购销合同时需与采购人同时签订《医疗卫生机构医药产品廉洁购销合同》并能够严格遵守，同时无条件接受院外及医院纪检部门的检查及监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7.乙方须按照国家药品“两票制”相关要求完成配送流程。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8.乙方提供的全部产品必须是正品正货，包装和内容一致，对所配送产品质量承担全部责任。</w:t>
      </w:r>
    </w:p>
    <w:p>
      <w:pPr>
        <w:spacing w:line="360" w:lineRule="auto"/>
        <w:rPr>
          <w:rFonts w:hint="eastAsia" w:ascii="宋体" w:hAnsi="宋体"/>
          <w:b/>
          <w:bCs/>
          <w:sz w:val="24"/>
        </w:rPr>
      </w:pPr>
      <w:r>
        <w:rPr>
          <w:rFonts w:hint="eastAsia" w:ascii="宋体" w:hAnsi="宋体"/>
          <w:b/>
          <w:bCs/>
          <w:sz w:val="24"/>
        </w:rPr>
        <w:t>第五条</w:t>
      </w:r>
      <w:r>
        <w:rPr>
          <w:rFonts w:hint="eastAsia" w:ascii="宋体" w:hAnsi="宋体"/>
          <w:b/>
          <w:bCs/>
          <w:sz w:val="24"/>
        </w:rPr>
        <w:tab/>
      </w:r>
      <w:r>
        <w:rPr>
          <w:rFonts w:hint="eastAsia" w:ascii="宋体" w:hAnsi="宋体"/>
          <w:b/>
          <w:bCs/>
          <w:sz w:val="24"/>
        </w:rPr>
        <w:t>售后服务</w:t>
      </w:r>
    </w:p>
    <w:p>
      <w:pPr>
        <w:spacing w:line="360" w:lineRule="auto"/>
        <w:rPr>
          <w:rFonts w:hint="eastAsia" w:ascii="宋体" w:hAnsi="宋体"/>
          <w:sz w:val="24"/>
        </w:rPr>
      </w:pPr>
      <w:r>
        <w:rPr>
          <w:rFonts w:hint="eastAsia" w:ascii="宋体" w:hAnsi="宋体"/>
          <w:sz w:val="24"/>
        </w:rPr>
        <w:t>1、乙方</w:t>
      </w:r>
      <w:r>
        <w:rPr>
          <w:rFonts w:hint="eastAsia" w:ascii="宋体" w:hAnsi="宋体" w:cs="宋体"/>
          <w:color w:val="000000"/>
          <w:sz w:val="22"/>
          <w:szCs w:val="22"/>
        </w:rPr>
        <w:t>负责回收过期、淘汰、变质或被污染的药械产品，并按环保法律法规进行处置。保障用药安全。</w:t>
      </w:r>
    </w:p>
    <w:p>
      <w:pPr>
        <w:spacing w:line="360" w:lineRule="auto"/>
        <w:rPr>
          <w:rFonts w:hint="eastAsia" w:ascii="宋体" w:hAnsi="宋体"/>
          <w:sz w:val="24"/>
        </w:rPr>
      </w:pPr>
      <w:r>
        <w:rPr>
          <w:rFonts w:hint="eastAsia" w:ascii="宋体" w:hAnsi="宋体"/>
          <w:sz w:val="24"/>
        </w:rPr>
        <w:t>2、供货过程中乙方提供下列全部服务：</w:t>
      </w:r>
    </w:p>
    <w:p>
      <w:pPr>
        <w:spacing w:line="360" w:lineRule="auto"/>
        <w:rPr>
          <w:rFonts w:hint="eastAsia" w:ascii="宋体" w:hAnsi="宋体"/>
          <w:sz w:val="24"/>
        </w:rPr>
      </w:pPr>
      <w:r>
        <w:rPr>
          <w:rFonts w:hint="eastAsia" w:ascii="宋体" w:hAnsi="宋体"/>
          <w:sz w:val="24"/>
        </w:rPr>
        <w:t>（1）药品的现场搬运或入库；</w:t>
      </w:r>
    </w:p>
    <w:p>
      <w:pPr>
        <w:spacing w:line="360" w:lineRule="auto"/>
        <w:rPr>
          <w:rFonts w:hint="eastAsia" w:ascii="宋体" w:hAnsi="宋体"/>
          <w:sz w:val="24"/>
        </w:rPr>
      </w:pPr>
      <w:r>
        <w:rPr>
          <w:rFonts w:hint="eastAsia" w:ascii="宋体" w:hAnsi="宋体"/>
          <w:sz w:val="24"/>
        </w:rPr>
        <w:t>（2）提供药品开箱或分装的用具；</w:t>
      </w:r>
    </w:p>
    <w:p>
      <w:pPr>
        <w:spacing w:line="360" w:lineRule="auto"/>
        <w:rPr>
          <w:rFonts w:hint="eastAsia" w:ascii="宋体" w:hAnsi="宋体"/>
          <w:sz w:val="24"/>
        </w:rPr>
      </w:pPr>
      <w:r>
        <w:rPr>
          <w:rFonts w:hint="eastAsia" w:ascii="宋体" w:hAnsi="宋体"/>
          <w:sz w:val="24"/>
        </w:rPr>
        <w:t>（3）对开箱时发现的破损、近失效期药品或其他不合格包装药品及时更换；</w:t>
      </w:r>
    </w:p>
    <w:p>
      <w:pPr>
        <w:spacing w:line="360" w:lineRule="auto"/>
        <w:rPr>
          <w:rFonts w:hint="eastAsia" w:ascii="宋体" w:hAnsi="宋体"/>
          <w:sz w:val="24"/>
        </w:rPr>
      </w:pPr>
      <w:r>
        <w:rPr>
          <w:rFonts w:hint="eastAsia" w:ascii="宋体" w:hAnsi="宋体"/>
          <w:sz w:val="24"/>
        </w:rPr>
        <w:t>（4）其他应提供的相关服务项目。</w:t>
      </w:r>
    </w:p>
    <w:p>
      <w:pPr>
        <w:spacing w:line="360" w:lineRule="auto"/>
        <w:rPr>
          <w:rFonts w:hint="eastAsia" w:ascii="宋体" w:hAnsi="宋体"/>
          <w:sz w:val="24"/>
        </w:rPr>
      </w:pPr>
      <w:r>
        <w:rPr>
          <w:rFonts w:hint="eastAsia" w:ascii="宋体" w:hAnsi="宋体"/>
          <w:sz w:val="24"/>
        </w:rPr>
        <w:t>3、服务期内出现药品质量问题，配送供应商在接到通知后，按采购人要求到达现场协助处理质量问题。</w:t>
      </w:r>
    </w:p>
    <w:p>
      <w:pPr>
        <w:spacing w:line="360" w:lineRule="auto"/>
        <w:rPr>
          <w:rFonts w:hint="eastAsia" w:ascii="宋体" w:hAnsi="宋体"/>
          <w:sz w:val="24"/>
        </w:rPr>
      </w:pPr>
      <w:r>
        <w:rPr>
          <w:rFonts w:hint="eastAsia" w:ascii="宋体" w:hAnsi="宋体"/>
          <w:sz w:val="24"/>
        </w:rPr>
        <w:t>4、乙方增值服务方案详见补充协议</w:t>
      </w:r>
    </w:p>
    <w:p>
      <w:pPr>
        <w:spacing w:line="360" w:lineRule="auto"/>
        <w:rPr>
          <w:rFonts w:hint="eastAsia" w:ascii="宋体" w:hAnsi="宋体"/>
          <w:b/>
          <w:bCs/>
          <w:sz w:val="24"/>
        </w:rPr>
      </w:pPr>
      <w:r>
        <w:rPr>
          <w:rFonts w:hint="eastAsia" w:ascii="宋体" w:hAnsi="宋体"/>
          <w:b/>
          <w:bCs/>
          <w:sz w:val="24"/>
        </w:rPr>
        <w:t>第六条</w:t>
      </w:r>
      <w:r>
        <w:rPr>
          <w:rFonts w:hint="eastAsia" w:ascii="宋体" w:hAnsi="宋体"/>
          <w:b/>
          <w:bCs/>
          <w:sz w:val="24"/>
        </w:rPr>
        <w:tab/>
      </w:r>
      <w:r>
        <w:rPr>
          <w:rFonts w:hint="eastAsia" w:ascii="宋体" w:hAnsi="宋体"/>
          <w:b/>
          <w:bCs/>
          <w:sz w:val="24"/>
        </w:rPr>
        <w:t>就近化服务</w:t>
      </w:r>
    </w:p>
    <w:p>
      <w:pPr>
        <w:spacing w:line="360" w:lineRule="auto"/>
        <w:ind w:firstLine="480" w:firstLineChars="200"/>
        <w:rPr>
          <w:rFonts w:hint="eastAsia" w:ascii="宋体" w:hAnsi="宋体"/>
          <w:sz w:val="24"/>
        </w:rPr>
      </w:pPr>
      <w:r>
        <w:rPr>
          <w:rFonts w:hint="eastAsia" w:ascii="宋体" w:hAnsi="宋体"/>
          <w:sz w:val="24"/>
        </w:rPr>
        <w:t>为提高服务效率，提升服务质量，乙方应在项目所在地就近范围内具有服务机构实现就近配送、开票和对账等服务，以确保配送服务时效性。</w:t>
      </w:r>
    </w:p>
    <w:p>
      <w:pPr>
        <w:spacing w:line="360" w:lineRule="auto"/>
        <w:rPr>
          <w:rFonts w:hint="eastAsia" w:ascii="宋体" w:hAnsi="宋体"/>
          <w:b/>
          <w:bCs/>
          <w:sz w:val="24"/>
        </w:rPr>
      </w:pPr>
      <w:r>
        <w:rPr>
          <w:rFonts w:hint="eastAsia" w:ascii="宋体" w:hAnsi="宋体"/>
          <w:b/>
          <w:bCs/>
          <w:sz w:val="24"/>
        </w:rPr>
        <w:t>第七条</w:t>
      </w:r>
      <w:r>
        <w:rPr>
          <w:rFonts w:hint="eastAsia" w:ascii="宋体" w:hAnsi="宋体"/>
          <w:b/>
          <w:bCs/>
          <w:sz w:val="24"/>
        </w:rPr>
        <w:tab/>
      </w:r>
      <w:r>
        <w:rPr>
          <w:rFonts w:hint="eastAsia" w:ascii="宋体" w:hAnsi="宋体"/>
          <w:b/>
          <w:bCs/>
          <w:sz w:val="24"/>
        </w:rPr>
        <w:t>知识产权</w:t>
      </w:r>
    </w:p>
    <w:p>
      <w:pPr>
        <w:spacing w:line="360" w:lineRule="auto"/>
        <w:ind w:firstLine="480" w:firstLineChars="200"/>
        <w:rPr>
          <w:rFonts w:hint="eastAsia" w:ascii="宋体" w:hAnsi="宋体"/>
          <w:sz w:val="24"/>
        </w:rPr>
      </w:pPr>
      <w:r>
        <w:rPr>
          <w:rFonts w:hint="eastAsia" w:ascii="宋体" w:hAnsi="宋体"/>
          <w:sz w:val="24"/>
        </w:rPr>
        <w:t>乙方应保证所提供的服务或其任何一部分均不会侵犯任何第三方的专利权、商标权或著作权。</w:t>
      </w:r>
    </w:p>
    <w:p>
      <w:pPr>
        <w:spacing w:line="360" w:lineRule="auto"/>
        <w:rPr>
          <w:rFonts w:hint="eastAsia" w:ascii="宋体" w:hAnsi="宋体"/>
          <w:b/>
          <w:bCs/>
          <w:sz w:val="24"/>
        </w:rPr>
      </w:pPr>
      <w:r>
        <w:rPr>
          <w:rFonts w:hint="eastAsia" w:ascii="宋体" w:hAnsi="宋体"/>
          <w:b/>
          <w:bCs/>
          <w:sz w:val="24"/>
        </w:rPr>
        <w:t>第八条</w:t>
      </w:r>
      <w:r>
        <w:rPr>
          <w:rFonts w:hint="eastAsia" w:ascii="宋体" w:hAnsi="宋体"/>
          <w:b/>
          <w:bCs/>
          <w:sz w:val="24"/>
        </w:rPr>
        <w:tab/>
      </w:r>
      <w:r>
        <w:rPr>
          <w:rFonts w:hint="eastAsia" w:ascii="宋体" w:hAnsi="宋体"/>
          <w:b/>
          <w:bCs/>
          <w:sz w:val="24"/>
        </w:rPr>
        <w:t>无产权瑕疵条款</w:t>
      </w:r>
    </w:p>
    <w:p>
      <w:pPr>
        <w:spacing w:line="360" w:lineRule="auto"/>
        <w:ind w:firstLine="480" w:firstLineChars="200"/>
        <w:rPr>
          <w:rFonts w:hint="eastAsia"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spacing w:line="360" w:lineRule="auto"/>
        <w:rPr>
          <w:rFonts w:hint="eastAsia" w:ascii="宋体" w:hAnsi="宋体"/>
          <w:b/>
          <w:bCs/>
          <w:sz w:val="24"/>
        </w:rPr>
      </w:pPr>
      <w:r>
        <w:rPr>
          <w:rFonts w:hint="eastAsia" w:ascii="宋体" w:hAnsi="宋体"/>
          <w:b/>
          <w:bCs/>
          <w:sz w:val="24"/>
        </w:rPr>
        <w:t>第九条</w:t>
      </w:r>
      <w:r>
        <w:rPr>
          <w:rFonts w:hint="eastAsia" w:ascii="宋体" w:hAnsi="宋体"/>
          <w:b/>
          <w:bCs/>
          <w:sz w:val="24"/>
        </w:rPr>
        <w:tab/>
      </w:r>
      <w:r>
        <w:rPr>
          <w:rFonts w:hint="eastAsia" w:ascii="宋体" w:hAnsi="宋体"/>
          <w:b/>
          <w:bCs/>
          <w:sz w:val="24"/>
        </w:rPr>
        <w:t>甲方的权利和义务</w:t>
      </w:r>
    </w:p>
    <w:p>
      <w:pPr>
        <w:spacing w:line="360" w:lineRule="auto"/>
        <w:ind w:firstLine="480" w:firstLineChars="200"/>
        <w:rPr>
          <w:rFonts w:hint="eastAsia" w:ascii="宋体" w:hAnsi="宋体"/>
          <w:sz w:val="24"/>
        </w:rPr>
      </w:pPr>
      <w:r>
        <w:rPr>
          <w:rFonts w:hint="eastAsia" w:ascii="宋体" w:hAnsi="宋体"/>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rFonts w:hint="eastAsia" w:ascii="宋体" w:hAnsi="宋体"/>
          <w:sz w:val="24"/>
        </w:rPr>
      </w:pPr>
      <w:r>
        <w:rPr>
          <w:rFonts w:hint="eastAsia" w:ascii="宋体" w:hAnsi="宋体"/>
          <w:sz w:val="24"/>
        </w:rPr>
        <w:t>2、甲方有权依据双方签订的考评办法对乙方提供的服务进行定期考评。</w:t>
      </w:r>
    </w:p>
    <w:p>
      <w:pPr>
        <w:spacing w:line="360" w:lineRule="auto"/>
        <w:ind w:firstLine="480" w:firstLineChars="200"/>
        <w:rPr>
          <w:rFonts w:hint="eastAsia" w:ascii="宋体" w:hAnsi="宋体"/>
          <w:sz w:val="24"/>
        </w:rPr>
      </w:pPr>
      <w:r>
        <w:rPr>
          <w:rFonts w:hint="eastAsia" w:ascii="宋体" w:hAnsi="宋体"/>
          <w:sz w:val="24"/>
        </w:rPr>
        <w:t>3、负责检查监督乙方管理工作的实施及制度的执行情况。</w:t>
      </w:r>
    </w:p>
    <w:p>
      <w:pPr>
        <w:spacing w:line="360" w:lineRule="auto"/>
        <w:ind w:firstLine="480" w:firstLineChars="200"/>
        <w:rPr>
          <w:rFonts w:hint="eastAsia" w:ascii="宋体" w:hAnsi="宋体"/>
          <w:sz w:val="24"/>
        </w:rPr>
      </w:pPr>
      <w:r>
        <w:rPr>
          <w:rFonts w:hint="eastAsia" w:ascii="宋体" w:hAnsi="宋体"/>
          <w:sz w:val="24"/>
        </w:rPr>
        <w:t>4、国家法律、法规所规定由甲方承担的其它责任。</w:t>
      </w:r>
    </w:p>
    <w:p>
      <w:pPr>
        <w:spacing w:line="360" w:lineRule="auto"/>
        <w:rPr>
          <w:rFonts w:hint="eastAsia" w:ascii="宋体" w:hAnsi="宋体"/>
          <w:b/>
          <w:bCs/>
          <w:sz w:val="24"/>
        </w:rPr>
      </w:pPr>
      <w:r>
        <w:rPr>
          <w:rFonts w:hint="eastAsia" w:ascii="宋体" w:hAnsi="宋体"/>
          <w:b/>
          <w:bCs/>
          <w:sz w:val="24"/>
        </w:rPr>
        <w:t>第十条</w:t>
      </w:r>
      <w:r>
        <w:rPr>
          <w:rFonts w:hint="eastAsia" w:ascii="宋体" w:hAnsi="宋体"/>
          <w:b/>
          <w:bCs/>
          <w:sz w:val="24"/>
        </w:rPr>
        <w:tab/>
      </w:r>
      <w:r>
        <w:rPr>
          <w:rFonts w:hint="eastAsia" w:ascii="宋体" w:hAnsi="宋体"/>
          <w:b/>
          <w:bCs/>
          <w:sz w:val="24"/>
        </w:rPr>
        <w:t>乙方的权利和义务</w:t>
      </w:r>
    </w:p>
    <w:p>
      <w:pPr>
        <w:spacing w:line="360" w:lineRule="auto"/>
        <w:ind w:firstLine="480" w:firstLineChars="200"/>
        <w:rPr>
          <w:rFonts w:hint="eastAsia" w:ascii="宋体" w:hAnsi="宋体"/>
          <w:sz w:val="24"/>
        </w:rPr>
      </w:pPr>
      <w:r>
        <w:rPr>
          <w:rFonts w:hint="eastAsia" w:ascii="宋体" w:hAnsi="宋体"/>
          <w:sz w:val="24"/>
        </w:rPr>
        <w:t>1、对本合同规定的委托服务范围内的项目享有管理权及服务义务。</w:t>
      </w:r>
    </w:p>
    <w:p>
      <w:pPr>
        <w:spacing w:line="360" w:lineRule="auto"/>
        <w:ind w:firstLine="480" w:firstLineChars="200"/>
        <w:rPr>
          <w:rFonts w:hint="eastAsia" w:ascii="宋体" w:hAnsi="宋体"/>
          <w:sz w:val="24"/>
        </w:rPr>
      </w:pPr>
      <w:r>
        <w:rPr>
          <w:rFonts w:hint="eastAsia" w:ascii="宋体" w:hAnsi="宋体"/>
          <w:sz w:val="24"/>
        </w:rPr>
        <w:t>2、及时向甲方通告本项目服务范围内有关服务的重大事项，及时配合处理投诉。</w:t>
      </w:r>
    </w:p>
    <w:p>
      <w:pPr>
        <w:spacing w:line="360" w:lineRule="auto"/>
        <w:ind w:firstLine="480" w:firstLineChars="200"/>
        <w:rPr>
          <w:rFonts w:hint="eastAsia" w:ascii="宋体" w:hAnsi="宋体"/>
          <w:sz w:val="24"/>
        </w:rPr>
      </w:pPr>
      <w:r>
        <w:rPr>
          <w:rFonts w:hint="eastAsia" w:ascii="宋体" w:hAnsi="宋体"/>
          <w:sz w:val="24"/>
        </w:rPr>
        <w:t>3、接受项目行业管理部门及政府有关部门的指导，接受甲方的监督。</w:t>
      </w:r>
    </w:p>
    <w:p>
      <w:pPr>
        <w:spacing w:line="360" w:lineRule="auto"/>
        <w:ind w:firstLine="480" w:firstLineChars="200"/>
        <w:rPr>
          <w:rFonts w:hint="eastAsia" w:ascii="宋体" w:hAnsi="宋体"/>
          <w:sz w:val="24"/>
        </w:rPr>
      </w:pPr>
      <w:r>
        <w:rPr>
          <w:rFonts w:hint="eastAsia" w:ascii="宋体" w:hAnsi="宋体"/>
          <w:sz w:val="24"/>
        </w:rPr>
        <w:t>4、国家法律、法规所规定由乙方承担的其它责任。</w:t>
      </w:r>
    </w:p>
    <w:p>
      <w:pPr>
        <w:spacing w:line="360" w:lineRule="auto"/>
        <w:rPr>
          <w:rFonts w:hint="eastAsia" w:ascii="宋体" w:hAnsi="宋体"/>
          <w:b/>
          <w:bCs/>
          <w:sz w:val="24"/>
        </w:rPr>
      </w:pPr>
      <w:r>
        <w:rPr>
          <w:rFonts w:hint="eastAsia" w:ascii="宋体" w:hAnsi="宋体"/>
          <w:b/>
          <w:bCs/>
          <w:sz w:val="24"/>
        </w:rPr>
        <w:t>第十一条</w:t>
      </w:r>
      <w:r>
        <w:rPr>
          <w:rFonts w:hint="eastAsia" w:ascii="宋体" w:hAnsi="宋体"/>
          <w:b/>
          <w:bCs/>
          <w:sz w:val="24"/>
        </w:rPr>
        <w:tab/>
      </w:r>
      <w:r>
        <w:rPr>
          <w:rFonts w:hint="eastAsia" w:ascii="宋体" w:hAnsi="宋体"/>
          <w:b/>
          <w:bCs/>
          <w:sz w:val="24"/>
        </w:rPr>
        <w:t>违约责任</w:t>
      </w:r>
    </w:p>
    <w:p>
      <w:pPr>
        <w:spacing w:line="360" w:lineRule="auto"/>
        <w:ind w:firstLine="480" w:firstLineChars="200"/>
        <w:rPr>
          <w:rFonts w:hint="eastAsia" w:ascii="宋体" w:hAnsi="宋体"/>
          <w:sz w:val="24"/>
        </w:rPr>
      </w:pPr>
      <w:r>
        <w:rPr>
          <w:rFonts w:hint="eastAsia" w:ascii="宋体" w:hAnsi="宋体"/>
          <w:sz w:val="24"/>
        </w:rPr>
        <w:t>1、甲乙双方必须遵守本合同并执行合同中的各项规定，保证本合同的正常履行。</w:t>
      </w:r>
    </w:p>
    <w:p>
      <w:pPr>
        <w:spacing w:line="360" w:lineRule="auto"/>
        <w:ind w:firstLine="480" w:firstLineChars="200"/>
        <w:rPr>
          <w:rFonts w:hint="eastAsia" w:ascii="宋体" w:hAnsi="宋体"/>
          <w:sz w:val="24"/>
        </w:rPr>
      </w:pPr>
      <w:r>
        <w:rPr>
          <w:rFonts w:hint="eastAsia" w:ascii="宋体" w:hAnsi="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包括但不限于直接经济损失、甲方垫付费用，以及甲方为主张权益而支付的调查费、诉讼费、律师费等费用。</w:t>
      </w:r>
    </w:p>
    <w:p>
      <w:pPr>
        <w:spacing w:line="360" w:lineRule="auto"/>
        <w:rPr>
          <w:rFonts w:hint="eastAsia" w:ascii="宋体" w:hAnsi="宋体"/>
          <w:sz w:val="24"/>
        </w:rPr>
      </w:pPr>
      <w:r>
        <w:rPr>
          <w:rFonts w:hint="eastAsia" w:ascii="宋体" w:hAnsi="宋体"/>
          <w:b/>
          <w:bCs/>
          <w:sz w:val="24"/>
        </w:rPr>
        <w:t>第十二条</w:t>
      </w:r>
      <w:r>
        <w:rPr>
          <w:rFonts w:hint="eastAsia" w:ascii="宋体" w:hAnsi="宋体"/>
          <w:b/>
          <w:bCs/>
          <w:sz w:val="24"/>
        </w:rPr>
        <w:tab/>
      </w:r>
      <w:r>
        <w:rPr>
          <w:rFonts w:hint="eastAsia" w:ascii="宋体" w:hAnsi="宋体"/>
          <w:b/>
          <w:bCs/>
          <w:sz w:val="24"/>
        </w:rPr>
        <w:t>不可抗力事件处理</w:t>
      </w:r>
    </w:p>
    <w:p>
      <w:pPr>
        <w:spacing w:line="360" w:lineRule="auto"/>
        <w:ind w:firstLine="480" w:firstLineChars="200"/>
        <w:rPr>
          <w:rFonts w:hint="eastAsia"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spacing w:line="360" w:lineRule="auto"/>
        <w:ind w:firstLine="480" w:firstLineChars="200"/>
        <w:rPr>
          <w:rFonts w:hint="eastAsia" w:ascii="宋体" w:hAnsi="宋体"/>
          <w:sz w:val="24"/>
        </w:rPr>
      </w:pPr>
      <w:r>
        <w:rPr>
          <w:rFonts w:hint="eastAsia" w:ascii="宋体" w:hAnsi="宋体"/>
          <w:sz w:val="24"/>
        </w:rPr>
        <w:t>2、不可抗力事件发生后，应立即通知对方，并寄送有关权威机构出具的证明。</w:t>
      </w:r>
    </w:p>
    <w:p>
      <w:pPr>
        <w:spacing w:line="360" w:lineRule="auto"/>
        <w:ind w:firstLine="480" w:firstLineChars="200"/>
        <w:rPr>
          <w:rFonts w:hint="eastAsia" w:ascii="宋体" w:hAnsi="宋体"/>
          <w:sz w:val="24"/>
        </w:rPr>
      </w:pPr>
      <w:r>
        <w:rPr>
          <w:rFonts w:hint="eastAsia" w:ascii="宋体" w:hAnsi="宋体"/>
          <w:sz w:val="24"/>
        </w:rPr>
        <w:t>3、不可抗力事件延续30天以上，双方应通过友好协商，确定是否继续履行合同。</w:t>
      </w:r>
    </w:p>
    <w:p>
      <w:pPr>
        <w:spacing w:line="360" w:lineRule="auto"/>
        <w:rPr>
          <w:rFonts w:hint="eastAsia" w:ascii="宋体" w:hAnsi="宋体"/>
          <w:b/>
          <w:bCs/>
          <w:sz w:val="24"/>
        </w:rPr>
      </w:pPr>
      <w:r>
        <w:rPr>
          <w:rFonts w:hint="eastAsia" w:ascii="宋体" w:hAnsi="宋体"/>
          <w:b/>
          <w:bCs/>
          <w:sz w:val="24"/>
        </w:rPr>
        <w:t>第十三条</w:t>
      </w:r>
      <w:r>
        <w:rPr>
          <w:rFonts w:hint="eastAsia" w:ascii="宋体" w:hAnsi="宋体"/>
          <w:b/>
          <w:bCs/>
          <w:sz w:val="24"/>
        </w:rPr>
        <w:tab/>
      </w:r>
      <w:r>
        <w:rPr>
          <w:rFonts w:hint="eastAsia" w:ascii="宋体" w:hAnsi="宋体"/>
          <w:b/>
          <w:bCs/>
          <w:sz w:val="24"/>
        </w:rPr>
        <w:t>解决合同纠纷的方式</w:t>
      </w:r>
    </w:p>
    <w:p>
      <w:pPr>
        <w:spacing w:line="360" w:lineRule="auto"/>
        <w:ind w:firstLine="480" w:firstLineChars="200"/>
        <w:rPr>
          <w:rFonts w:hint="eastAsia" w:ascii="宋体" w:hAnsi="宋体"/>
          <w:sz w:val="24"/>
        </w:rPr>
      </w:pPr>
      <w:r>
        <w:rPr>
          <w:rFonts w:hint="eastAsia" w:ascii="宋体" w:hAnsi="宋体"/>
          <w:sz w:val="24"/>
        </w:rPr>
        <w:t>1、在执行本合同中发生的或与本合同有关的争议，双方应通过友好协商解决，经协商在60天内不能达成协议时，应提交**市仲裁委员会仲裁。</w:t>
      </w:r>
    </w:p>
    <w:p>
      <w:pPr>
        <w:spacing w:line="360" w:lineRule="auto"/>
        <w:ind w:firstLine="480" w:firstLineChars="200"/>
        <w:rPr>
          <w:rFonts w:hint="eastAsia" w:ascii="宋体" w:hAnsi="宋体"/>
          <w:sz w:val="24"/>
        </w:rPr>
      </w:pPr>
      <w:r>
        <w:rPr>
          <w:rFonts w:hint="eastAsia" w:ascii="宋体" w:hAnsi="宋体"/>
          <w:sz w:val="24"/>
        </w:rPr>
        <w:t>2、仲裁裁决应为最终决定，并对双方具有约束力。</w:t>
      </w:r>
    </w:p>
    <w:p>
      <w:pPr>
        <w:spacing w:line="360" w:lineRule="auto"/>
        <w:ind w:firstLine="480" w:firstLineChars="200"/>
        <w:rPr>
          <w:rFonts w:hint="eastAsia" w:ascii="宋体" w:hAnsi="宋体"/>
          <w:sz w:val="24"/>
        </w:rPr>
      </w:pPr>
      <w:r>
        <w:rPr>
          <w:rFonts w:hint="eastAsia" w:ascii="宋体" w:hAnsi="宋体"/>
          <w:sz w:val="24"/>
        </w:rPr>
        <w:t xml:space="preserve">3、除另有裁决外，仲裁费应由败诉方负担。 </w:t>
      </w:r>
    </w:p>
    <w:p>
      <w:pPr>
        <w:spacing w:line="360" w:lineRule="auto"/>
        <w:ind w:firstLine="480" w:firstLineChars="200"/>
        <w:rPr>
          <w:rFonts w:hint="eastAsia" w:ascii="宋体" w:hAnsi="宋体"/>
          <w:sz w:val="24"/>
        </w:rPr>
      </w:pPr>
      <w:r>
        <w:rPr>
          <w:rFonts w:hint="eastAsia" w:ascii="宋体" w:hAnsi="宋体"/>
          <w:sz w:val="24"/>
        </w:rPr>
        <w:t xml:space="preserve">4、在仲裁期间，除正在进行仲裁部分外，合同其他部分继续执行。 </w:t>
      </w:r>
    </w:p>
    <w:p>
      <w:pPr>
        <w:spacing w:line="360" w:lineRule="auto"/>
        <w:rPr>
          <w:rFonts w:hint="eastAsia" w:ascii="宋体" w:hAnsi="宋体"/>
          <w:b/>
          <w:bCs/>
          <w:sz w:val="24"/>
        </w:rPr>
      </w:pPr>
      <w:r>
        <w:rPr>
          <w:rFonts w:hint="eastAsia" w:ascii="宋体" w:hAnsi="宋体"/>
          <w:b/>
          <w:bCs/>
          <w:sz w:val="24"/>
        </w:rPr>
        <w:t>第十四条</w:t>
      </w:r>
      <w:r>
        <w:rPr>
          <w:rFonts w:hint="eastAsia" w:ascii="宋体" w:hAnsi="宋体"/>
          <w:b/>
          <w:bCs/>
          <w:sz w:val="24"/>
        </w:rPr>
        <w:tab/>
      </w:r>
      <w:r>
        <w:rPr>
          <w:rFonts w:hint="eastAsia" w:ascii="宋体" w:hAnsi="宋体"/>
          <w:b/>
          <w:bCs/>
          <w:sz w:val="24"/>
        </w:rPr>
        <w:t>合同生效及其他</w:t>
      </w:r>
    </w:p>
    <w:p>
      <w:pPr>
        <w:spacing w:line="360" w:lineRule="auto"/>
        <w:ind w:firstLine="480" w:firstLineChars="200"/>
        <w:rPr>
          <w:rFonts w:hint="eastAsia" w:ascii="宋体" w:hAnsi="宋体"/>
          <w:sz w:val="24"/>
        </w:rPr>
      </w:pPr>
      <w:r>
        <w:rPr>
          <w:rFonts w:hint="eastAsia" w:ascii="宋体" w:hAnsi="宋体"/>
          <w:sz w:val="24"/>
        </w:rPr>
        <w:t>1、合同经双方法定代表人或授权委托授权代表人签字并加盖单位公章后生效。</w:t>
      </w:r>
    </w:p>
    <w:p>
      <w:pPr>
        <w:spacing w:line="360" w:lineRule="auto"/>
        <w:ind w:firstLine="480" w:firstLineChars="200"/>
        <w:rPr>
          <w:rFonts w:hint="eastAsia" w:ascii="宋体" w:hAnsi="宋体"/>
          <w:sz w:val="24"/>
        </w:rPr>
      </w:pPr>
      <w:r>
        <w:rPr>
          <w:rFonts w:hint="eastAsia" w:ascii="宋体" w:hAnsi="宋体"/>
          <w:sz w:val="24"/>
        </w:rPr>
        <w:t>2、本合同一式六份，自双方签章之日起起效。甲方二份，乙方二份，政府采购代理机构二份，具有同等法律效力。</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乙方：   （盖章）</w:t>
      </w:r>
    </w:p>
    <w:p>
      <w:pPr>
        <w:rPr>
          <w:rFonts w:hint="eastAsia" w:ascii="宋体" w:hAnsi="宋体"/>
          <w:sz w:val="24"/>
        </w:rPr>
      </w:pPr>
      <w:r>
        <w:rPr>
          <w:rFonts w:hint="eastAsia" w:ascii="宋体" w:hAnsi="宋体"/>
          <w:sz w:val="24"/>
        </w:rPr>
        <w:t>法定代表人（授权代表人）：     法定代表人（授权代表人）：</w:t>
      </w:r>
    </w:p>
    <w:p>
      <w:pPr>
        <w:rPr>
          <w:rFonts w:hint="eastAsia" w:ascii="宋体" w:hAnsi="宋体"/>
          <w:sz w:val="24"/>
        </w:rPr>
      </w:pPr>
      <w:r>
        <w:rPr>
          <w:rFonts w:hint="eastAsia" w:ascii="宋体" w:hAnsi="宋体"/>
          <w:sz w:val="24"/>
        </w:rPr>
        <w:t>地    址：                       地    址：</w:t>
      </w:r>
    </w:p>
    <w:p>
      <w:pPr>
        <w:rPr>
          <w:rFonts w:hint="eastAsia" w:ascii="宋体" w:hAnsi="宋体"/>
          <w:sz w:val="24"/>
        </w:rPr>
      </w:pPr>
      <w:r>
        <w:rPr>
          <w:rFonts w:hint="eastAsia" w:ascii="宋体" w:hAnsi="宋体"/>
          <w:sz w:val="24"/>
        </w:rPr>
        <w:t>开户银行：                       开户银行：</w:t>
      </w:r>
    </w:p>
    <w:p>
      <w:pPr>
        <w:rPr>
          <w:rFonts w:hint="eastAsia" w:ascii="宋体" w:hAnsi="宋体"/>
          <w:sz w:val="24"/>
        </w:rPr>
      </w:pPr>
      <w:r>
        <w:rPr>
          <w:rFonts w:hint="eastAsia" w:ascii="宋体" w:hAnsi="宋体"/>
          <w:sz w:val="24"/>
        </w:rPr>
        <w:t>账    号：                       账    号：</w:t>
      </w:r>
    </w:p>
    <w:p>
      <w:pPr>
        <w:rPr>
          <w:rFonts w:hint="eastAsia" w:ascii="宋体" w:hAnsi="宋体"/>
          <w:sz w:val="24"/>
        </w:rPr>
      </w:pPr>
      <w:r>
        <w:rPr>
          <w:rFonts w:hint="eastAsia" w:ascii="宋体" w:hAnsi="宋体"/>
          <w:sz w:val="24"/>
        </w:rPr>
        <w:t>电    话：                       电    话：</w:t>
      </w:r>
    </w:p>
    <w:p>
      <w:pPr>
        <w:rPr>
          <w:rFonts w:hint="eastAsia" w:ascii="宋体" w:hAnsi="宋体"/>
          <w:sz w:val="24"/>
        </w:rPr>
      </w:pPr>
      <w:r>
        <w:rPr>
          <w:rFonts w:hint="eastAsia" w:ascii="宋体" w:hAnsi="宋体"/>
          <w:sz w:val="24"/>
        </w:rPr>
        <w:t>传    真：                       传    真：</w:t>
      </w:r>
    </w:p>
    <w:p>
      <w:pPr>
        <w:rPr>
          <w:rFonts w:ascii="宋体" w:hAnsi="宋体"/>
          <w:sz w:val="24"/>
        </w:rPr>
      </w:pPr>
      <w:r>
        <w:rPr>
          <w:rFonts w:hint="eastAsia" w:ascii="宋体" w:hAnsi="宋体"/>
          <w:sz w:val="24"/>
        </w:rPr>
        <w:t>签约日期： 年 月 日             签约日期： 年  月  日</w:t>
      </w:r>
    </w:p>
    <w:p>
      <w:pPr>
        <w:spacing w:line="400" w:lineRule="auto"/>
        <w:ind w:firstLine="482"/>
        <w:rPr>
          <w:rFonts w:ascii="宋体" w:hAnsi="宋体" w:eastAsia="宋体" w:cs="宋体"/>
          <w:b/>
          <w:color w:val="auto"/>
          <w:sz w:val="24"/>
        </w:rPr>
      </w:pPr>
    </w:p>
    <w:p>
      <w:pPr>
        <w:pStyle w:val="2"/>
        <w:rPr>
          <w:rFonts w:ascii="宋体" w:hAnsi="宋体" w:eastAsia="宋体" w:cs="宋体"/>
          <w:b/>
          <w:color w:val="auto"/>
          <w:sz w:val="24"/>
        </w:rPr>
      </w:pPr>
    </w:p>
    <w:p>
      <w:pPr>
        <w:rPr>
          <w:rFonts w:ascii="宋体" w:hAnsi="宋体" w:eastAsia="宋体" w:cs="宋体"/>
          <w:b/>
          <w:color w:val="auto"/>
          <w:sz w:val="24"/>
        </w:rPr>
      </w:pPr>
    </w:p>
    <w:p>
      <w:pPr>
        <w:pStyle w:val="2"/>
        <w:rPr>
          <w:rFonts w:ascii="宋体" w:hAnsi="宋体" w:eastAsia="宋体" w:cs="宋体"/>
          <w:b/>
          <w:color w:val="auto"/>
          <w:sz w:val="24"/>
        </w:rPr>
      </w:pPr>
    </w:p>
    <w:p>
      <w:pPr>
        <w:rPr>
          <w:rFonts w:ascii="宋体" w:hAnsi="宋体" w:eastAsia="宋体" w:cs="宋体"/>
          <w:b/>
          <w:color w:val="auto"/>
          <w:sz w:val="24"/>
        </w:rPr>
      </w:pPr>
    </w:p>
    <w:p>
      <w:pPr>
        <w:pStyle w:val="2"/>
        <w:rPr>
          <w:rFonts w:ascii="宋体" w:hAnsi="宋体" w:eastAsia="宋体" w:cs="宋体"/>
          <w:b/>
          <w:color w:val="auto"/>
          <w:sz w:val="24"/>
        </w:rPr>
      </w:pPr>
    </w:p>
    <w:p>
      <w:pPr>
        <w:rPr>
          <w:rFonts w:ascii="宋体" w:hAnsi="宋体" w:eastAsia="宋体" w:cs="宋体"/>
          <w:b/>
          <w:color w:val="auto"/>
          <w:sz w:val="24"/>
        </w:rPr>
      </w:pPr>
    </w:p>
    <w:p>
      <w:pPr>
        <w:pStyle w:val="2"/>
        <w:rPr>
          <w:rFonts w:ascii="宋体" w:hAnsi="宋体" w:eastAsia="宋体" w:cs="宋体"/>
          <w:b/>
          <w:color w:val="auto"/>
          <w:sz w:val="24"/>
        </w:rPr>
      </w:pPr>
    </w:p>
    <w:p>
      <w:pPr>
        <w:sectPr>
          <w:footerReference r:id="rId5" w:type="default"/>
          <w:type w:val="continuous"/>
          <w:pgSz w:w="11906" w:h="16838"/>
          <w:pgMar w:top="1440" w:right="1080" w:bottom="1440" w:left="1080" w:header="851" w:footer="992" w:gutter="0"/>
          <w:pgNumType w:start="1"/>
          <w:cols w:space="425" w:num="1"/>
          <w:docGrid w:type="lines" w:linePitch="312" w:charSpace="0"/>
        </w:sectPr>
      </w:pPr>
    </w:p>
    <w:p>
      <w:pPr>
        <w:spacing w:line="400" w:lineRule="auto"/>
        <w:ind w:firstLine="482"/>
        <w:rPr>
          <w:rFonts w:ascii="Times New Roman" w:hAnsi="Times New Roman" w:eastAsia="Times New Roman" w:cs="Times New Roman"/>
          <w:color w:val="auto"/>
          <w:sz w:val="34"/>
        </w:rPr>
      </w:pPr>
      <w:r>
        <w:rPr>
          <w:rFonts w:ascii="宋体" w:hAnsi="宋体" w:eastAsia="宋体" w:cs="宋体"/>
          <w:b/>
          <w:color w:val="auto"/>
          <w:sz w:val="24"/>
        </w:rPr>
        <w:t>附件</w:t>
      </w:r>
      <w:r>
        <w:rPr>
          <w:rFonts w:ascii="Times New Roman" w:hAnsi="Times New Roman" w:eastAsia="Times New Roman" w:cs="Times New Roman"/>
          <w:b/>
          <w:color w:val="auto"/>
          <w:sz w:val="24"/>
        </w:rPr>
        <w:t>1</w:t>
      </w:r>
      <w:r>
        <w:rPr>
          <w:rFonts w:ascii="宋体" w:hAnsi="宋体" w:eastAsia="宋体" w:cs="宋体"/>
          <w:b/>
          <w:color w:val="auto"/>
          <w:sz w:val="28"/>
        </w:rPr>
        <w:t>递交响应文件签收表</w:t>
      </w:r>
    </w:p>
    <w:tbl>
      <w:tblPr>
        <w:tblStyle w:val="21"/>
        <w:tblW w:w="13958" w:type="dxa"/>
        <w:tblInd w:w="0" w:type="dxa"/>
        <w:tblLayout w:type="fixed"/>
        <w:tblCellMar>
          <w:top w:w="0" w:type="dxa"/>
          <w:left w:w="10" w:type="dxa"/>
          <w:bottom w:w="0" w:type="dxa"/>
          <w:right w:w="10" w:type="dxa"/>
        </w:tblCellMar>
      </w:tblPr>
      <w:tblGrid>
        <w:gridCol w:w="1418"/>
        <w:gridCol w:w="3403"/>
        <w:gridCol w:w="1951"/>
        <w:gridCol w:w="1734"/>
        <w:gridCol w:w="1641"/>
        <w:gridCol w:w="3811"/>
      </w:tblGrid>
      <w:tr>
        <w:tblPrEx>
          <w:tblCellMar>
            <w:top w:w="0" w:type="dxa"/>
            <w:left w:w="10" w:type="dxa"/>
            <w:bottom w:w="0" w:type="dxa"/>
            <w:right w:w="10" w:type="dxa"/>
          </w:tblCellMar>
        </w:tblPrEx>
        <w:trPr>
          <w:trHeight w:val="538" w:hRule="atLeast"/>
        </w:trPr>
        <w:tc>
          <w:tcPr>
            <w:tcW w:w="13958" w:type="dxa"/>
            <w:gridSpan w:val="6"/>
            <w:shd w:val="clear" w:color="000000" w:fill="FFFFFF"/>
            <w:tcMar>
              <w:left w:w="14" w:type="dxa"/>
              <w:right w:w="14" w:type="dxa"/>
            </w:tcMar>
            <w:vAlign w:val="center"/>
          </w:tcPr>
          <w:p>
            <w:pPr>
              <w:jc w:val="center"/>
              <w:rPr>
                <w:rFonts w:ascii="宋体" w:hAnsi="宋体" w:eastAsia="宋体" w:cs="宋体"/>
                <w:b/>
                <w:color w:val="auto"/>
              </w:rPr>
            </w:pPr>
            <w:r>
              <w:rPr>
                <w:rFonts w:ascii="宋体" w:hAnsi="宋体" w:eastAsia="宋体" w:cs="宋体"/>
                <w:b/>
                <w:color w:val="auto"/>
                <w:sz w:val="32"/>
                <w:szCs w:val="28"/>
                <w:u w:val="single"/>
              </w:rPr>
              <w:t>递交比选文件签收表</w:t>
            </w:r>
          </w:p>
        </w:tc>
      </w:tr>
      <w:tr>
        <w:tblPrEx>
          <w:tblCellMar>
            <w:top w:w="0" w:type="dxa"/>
            <w:left w:w="10" w:type="dxa"/>
            <w:bottom w:w="0" w:type="dxa"/>
            <w:right w:w="10" w:type="dxa"/>
          </w:tblCellMar>
        </w:tblPrEx>
        <w:trPr>
          <w:trHeight w:val="463" w:hRule="atLeast"/>
        </w:trPr>
        <w:tc>
          <w:tcPr>
            <w:tcW w:w="1418" w:type="dxa"/>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项目名称：</w:t>
            </w:r>
          </w:p>
        </w:tc>
        <w:tc>
          <w:tcPr>
            <w:tcW w:w="7088" w:type="dxa"/>
            <w:gridSpan w:val="3"/>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比选编号：</w:t>
            </w:r>
          </w:p>
        </w:tc>
        <w:tc>
          <w:tcPr>
            <w:tcW w:w="3811" w:type="dxa"/>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463" w:hRule="atLeast"/>
        </w:trPr>
        <w:tc>
          <w:tcPr>
            <w:tcW w:w="1418"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比选时间：</w:t>
            </w:r>
          </w:p>
        </w:tc>
        <w:tc>
          <w:tcPr>
            <w:tcW w:w="7088" w:type="dxa"/>
            <w:gridSpan w:val="3"/>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比选地点：</w:t>
            </w:r>
          </w:p>
        </w:tc>
        <w:tc>
          <w:tcPr>
            <w:tcW w:w="381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1231"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包号</w:t>
            </w:r>
          </w:p>
        </w:tc>
        <w:tc>
          <w:tcPr>
            <w:tcW w:w="3403"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比选申请人</w:t>
            </w:r>
          </w:p>
        </w:tc>
        <w:tc>
          <w:tcPr>
            <w:tcW w:w="195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递交时间</w:t>
            </w:r>
          </w:p>
        </w:tc>
        <w:tc>
          <w:tcPr>
            <w:tcW w:w="1734"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b/>
                <w:color w:val="auto"/>
                <w:sz w:val="24"/>
              </w:rPr>
            </w:pPr>
            <w:r>
              <w:rPr>
                <w:rFonts w:ascii="宋体" w:hAnsi="宋体" w:eastAsia="宋体" w:cs="宋体"/>
                <w:b/>
                <w:color w:val="auto"/>
                <w:sz w:val="24"/>
              </w:rPr>
              <w:t>密封合格与否</w:t>
            </w:r>
          </w:p>
          <w:p>
            <w:pPr>
              <w:jc w:val="center"/>
              <w:rPr>
                <w:color w:val="auto"/>
              </w:rPr>
            </w:pPr>
            <w:r>
              <w:rPr>
                <w:rFonts w:ascii="宋体" w:hAnsi="宋体" w:eastAsia="宋体" w:cs="宋体"/>
                <w:b/>
                <w:color w:val="auto"/>
                <w:sz w:val="24"/>
              </w:rPr>
              <w:t>（签收人确认）</w:t>
            </w:r>
          </w:p>
        </w:tc>
        <w:tc>
          <w:tcPr>
            <w:tcW w:w="164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联系人</w:t>
            </w: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联系方式</w:t>
            </w:r>
          </w:p>
        </w:tc>
      </w:tr>
      <w:tr>
        <w:tblPrEx>
          <w:tblCellMar>
            <w:top w:w="0" w:type="dxa"/>
            <w:left w:w="10" w:type="dxa"/>
            <w:bottom w:w="0" w:type="dxa"/>
            <w:right w:w="10" w:type="dxa"/>
          </w:tblCellMar>
        </w:tblPrEx>
        <w:trPr>
          <w:trHeight w:val="542"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color w:val="auto"/>
                <w:sz w:val="24"/>
                <w:u w:val="single"/>
              </w:rPr>
            </w:pPr>
            <w:r>
              <w:rPr>
                <w:rFonts w:ascii="宋体" w:hAnsi="宋体" w:eastAsia="宋体" w:cs="宋体"/>
                <w:color w:val="auto"/>
                <w:sz w:val="24"/>
              </w:rPr>
              <w:t>年</w:t>
            </w:r>
            <w:r>
              <w:rPr>
                <w:rFonts w:hint="eastAsia" w:ascii="宋体" w:hAnsi="宋体" w:eastAsia="宋体" w:cs="宋体"/>
                <w:color w:val="auto"/>
                <w:sz w:val="24"/>
              </w:rPr>
              <w:t xml:space="preserve"> </w:t>
            </w:r>
            <w:r>
              <w:rPr>
                <w:rFonts w:ascii="宋体" w:hAnsi="宋体" w:eastAsia="宋体" w:cs="宋体"/>
                <w:color w:val="auto"/>
                <w:sz w:val="24"/>
              </w:rPr>
              <w:t xml:space="preserve"> 月</w:t>
            </w:r>
            <w:r>
              <w:rPr>
                <w:rFonts w:hint="eastAsia" w:ascii="宋体" w:hAnsi="宋体" w:eastAsia="宋体" w:cs="宋体"/>
                <w:color w:val="auto"/>
                <w:sz w:val="24"/>
              </w:rPr>
              <w:t xml:space="preserve"> </w:t>
            </w:r>
            <w:r>
              <w:rPr>
                <w:rFonts w:ascii="宋体" w:hAnsi="宋体" w:eastAsia="宋体" w:cs="宋体"/>
                <w:color w:val="auto"/>
                <w:sz w:val="24"/>
              </w:rPr>
              <w:t xml:space="preserve"> 日</w:t>
            </w:r>
          </w:p>
          <w:p>
            <w:pPr>
              <w:jc w:val="center"/>
              <w:rPr>
                <w:color w:val="auto"/>
              </w:rPr>
            </w:pPr>
            <w:r>
              <w:rPr>
                <w:rFonts w:ascii="宋体" w:hAnsi="宋体" w:eastAsia="宋体" w:cs="宋体"/>
                <w:color w:val="auto"/>
                <w:sz w:val="24"/>
              </w:rPr>
              <w:t>时</w:t>
            </w:r>
            <w:r>
              <w:rPr>
                <w:rFonts w:hint="eastAsia" w:ascii="宋体" w:hAnsi="宋体" w:eastAsia="宋体" w:cs="宋体"/>
                <w:color w:val="auto"/>
                <w:sz w:val="24"/>
              </w:rPr>
              <w:t xml:space="preserve"> </w:t>
            </w:r>
            <w:r>
              <w:rPr>
                <w:rFonts w:ascii="宋体" w:hAnsi="宋体" w:eastAsia="宋体" w:cs="宋体"/>
                <w:color w:val="auto"/>
                <w:sz w:val="24"/>
              </w:rPr>
              <w:t xml:space="preserve"> 分</w:t>
            </w:r>
          </w:p>
        </w:tc>
        <w:tc>
          <w:tcPr>
            <w:tcW w:w="1734"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color w:val="auto"/>
                <w:sz w:val="24"/>
              </w:rPr>
            </w:pPr>
            <w:r>
              <w:rPr>
                <w:rFonts w:ascii="宋体" w:hAnsi="宋体" w:eastAsia="宋体" w:cs="宋体"/>
                <w:color w:val="auto"/>
                <w:sz w:val="24"/>
              </w:rPr>
              <w:t>□是</w:t>
            </w:r>
          </w:p>
          <w:p>
            <w:pPr>
              <w:jc w:val="center"/>
              <w:rPr>
                <w:rFonts w:ascii="Times New Roman" w:hAnsi="Times New Roman" w:eastAsia="Times New Roman" w:cs="Times New Roman"/>
                <w:color w:val="auto"/>
                <w:sz w:val="24"/>
              </w:rPr>
            </w:pPr>
          </w:p>
          <w:p>
            <w:pPr>
              <w:jc w:val="center"/>
              <w:rPr>
                <w:color w:val="auto"/>
              </w:rPr>
            </w:pPr>
            <w:r>
              <w:rPr>
                <w:rFonts w:ascii="宋体" w:hAnsi="宋体" w:eastAsia="宋体" w:cs="宋体"/>
                <w:color w:val="auto"/>
                <w:sz w:val="24"/>
              </w:rPr>
              <w:t>□否</w:t>
            </w:r>
          </w:p>
        </w:tc>
        <w:tc>
          <w:tcPr>
            <w:tcW w:w="164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电话：</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传真：</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手机：</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773"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color w:val="auto"/>
                <w:sz w:val="24"/>
              </w:rPr>
              <w:t>签收人：</w:t>
            </w:r>
          </w:p>
        </w:tc>
        <w:tc>
          <w:tcPr>
            <w:tcW w:w="12540" w:type="dxa"/>
            <w:gridSpan w:val="5"/>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898" w:hRule="atLeast"/>
        </w:trPr>
        <w:tc>
          <w:tcPr>
            <w:tcW w:w="13958" w:type="dxa"/>
            <w:gridSpan w:val="6"/>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color w:val="auto"/>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cs="Times New Roman"/>
          <w:b/>
          <w:color w:val="auto"/>
          <w:sz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pPr>
          <w:pStyle w:val="16"/>
          <w:jc w:val="center"/>
        </w:pPr>
        <w:r>
          <w:t xml:space="preserve">     </w:t>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heme="minorEastAsia" w:hAnsiTheme="minorEastAsia"/>
        <w:b/>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E6251E"/>
    <w:multiLevelType w:val="singleLevel"/>
    <w:tmpl w:val="74E6251E"/>
    <w:lvl w:ilvl="0" w:tentative="0">
      <w:start w:val="1"/>
      <w:numFmt w:val="decimal"/>
      <w:lvlText w:val="%1."/>
      <w:lvlJc w:val="left"/>
      <w:pPr>
        <w:tabs>
          <w:tab w:val="left" w:pos="312"/>
        </w:tabs>
      </w:pPr>
    </w:lvl>
  </w:abstractNum>
  <w:abstractNum w:abstractNumId="3">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YmZmMTE2MWJiZGRiODgwZWZmYzgwZGMwNjA0NDEifQ=="/>
  </w:docVars>
  <w:rsids>
    <w:rsidRoot w:val="007E00BC"/>
    <w:rsid w:val="00002A0C"/>
    <w:rsid w:val="00004AAB"/>
    <w:rsid w:val="00011292"/>
    <w:rsid w:val="00013733"/>
    <w:rsid w:val="0001641A"/>
    <w:rsid w:val="00016C7E"/>
    <w:rsid w:val="00024DB1"/>
    <w:rsid w:val="00033ECD"/>
    <w:rsid w:val="0006227F"/>
    <w:rsid w:val="00062A4E"/>
    <w:rsid w:val="00071CA5"/>
    <w:rsid w:val="000736E7"/>
    <w:rsid w:val="000738F6"/>
    <w:rsid w:val="000752D6"/>
    <w:rsid w:val="00075D2F"/>
    <w:rsid w:val="00093583"/>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09D"/>
    <w:rsid w:val="0030591F"/>
    <w:rsid w:val="003167B1"/>
    <w:rsid w:val="00325329"/>
    <w:rsid w:val="00330A30"/>
    <w:rsid w:val="00330AD9"/>
    <w:rsid w:val="00341157"/>
    <w:rsid w:val="00342AEC"/>
    <w:rsid w:val="003515C2"/>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6BD1"/>
    <w:rsid w:val="00487F6C"/>
    <w:rsid w:val="00490FFF"/>
    <w:rsid w:val="004A50F1"/>
    <w:rsid w:val="004C2BCB"/>
    <w:rsid w:val="004C5DF5"/>
    <w:rsid w:val="004D4438"/>
    <w:rsid w:val="004D4D7B"/>
    <w:rsid w:val="004D65D6"/>
    <w:rsid w:val="004E2287"/>
    <w:rsid w:val="004E4E8A"/>
    <w:rsid w:val="004F0B1E"/>
    <w:rsid w:val="004F220D"/>
    <w:rsid w:val="005033FD"/>
    <w:rsid w:val="00505015"/>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532F5"/>
    <w:rsid w:val="00B701F3"/>
    <w:rsid w:val="00B70830"/>
    <w:rsid w:val="00B778D1"/>
    <w:rsid w:val="00B84AC5"/>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7761"/>
    <w:rsid w:val="00F67F58"/>
    <w:rsid w:val="00F80100"/>
    <w:rsid w:val="00F82362"/>
    <w:rsid w:val="00F86396"/>
    <w:rsid w:val="00F86920"/>
    <w:rsid w:val="00F86AF9"/>
    <w:rsid w:val="00FA24D9"/>
    <w:rsid w:val="00FA6745"/>
    <w:rsid w:val="00FB727B"/>
    <w:rsid w:val="00FB79E1"/>
    <w:rsid w:val="00FC4211"/>
    <w:rsid w:val="00FC53F8"/>
    <w:rsid w:val="00FD4093"/>
    <w:rsid w:val="00FD429F"/>
    <w:rsid w:val="00FE1246"/>
    <w:rsid w:val="00FE1D3E"/>
    <w:rsid w:val="03A91583"/>
    <w:rsid w:val="05542851"/>
    <w:rsid w:val="08467869"/>
    <w:rsid w:val="085B3E17"/>
    <w:rsid w:val="0A797252"/>
    <w:rsid w:val="0C0F5B99"/>
    <w:rsid w:val="0C9A243A"/>
    <w:rsid w:val="0CCE7C56"/>
    <w:rsid w:val="0D1A44CC"/>
    <w:rsid w:val="0D3A5A37"/>
    <w:rsid w:val="0E2945A7"/>
    <w:rsid w:val="10135398"/>
    <w:rsid w:val="101912FD"/>
    <w:rsid w:val="11D778DB"/>
    <w:rsid w:val="134E49AB"/>
    <w:rsid w:val="14E135CF"/>
    <w:rsid w:val="159F277F"/>
    <w:rsid w:val="172272E9"/>
    <w:rsid w:val="18AC1A8E"/>
    <w:rsid w:val="1C9E68A1"/>
    <w:rsid w:val="1CA31112"/>
    <w:rsid w:val="204C017C"/>
    <w:rsid w:val="206E5E16"/>
    <w:rsid w:val="219A0368"/>
    <w:rsid w:val="238B1EE7"/>
    <w:rsid w:val="241362F0"/>
    <w:rsid w:val="24FD3EB8"/>
    <w:rsid w:val="26536D53"/>
    <w:rsid w:val="26E95E27"/>
    <w:rsid w:val="2B531123"/>
    <w:rsid w:val="2BDD02B4"/>
    <w:rsid w:val="2C805E78"/>
    <w:rsid w:val="2C8F6D56"/>
    <w:rsid w:val="2E570437"/>
    <w:rsid w:val="2EB63029"/>
    <w:rsid w:val="2F392A40"/>
    <w:rsid w:val="2FF373FB"/>
    <w:rsid w:val="31AC56CE"/>
    <w:rsid w:val="31B91B44"/>
    <w:rsid w:val="31E43583"/>
    <w:rsid w:val="346804F6"/>
    <w:rsid w:val="34963B18"/>
    <w:rsid w:val="39000741"/>
    <w:rsid w:val="39AC5AB2"/>
    <w:rsid w:val="3AEA08A3"/>
    <w:rsid w:val="3BC66A9E"/>
    <w:rsid w:val="3DEF40D0"/>
    <w:rsid w:val="3EE406BB"/>
    <w:rsid w:val="3F767FC2"/>
    <w:rsid w:val="42CF106D"/>
    <w:rsid w:val="455E1D85"/>
    <w:rsid w:val="494A23FC"/>
    <w:rsid w:val="4BAC45CF"/>
    <w:rsid w:val="51276028"/>
    <w:rsid w:val="529A362A"/>
    <w:rsid w:val="536129AF"/>
    <w:rsid w:val="58F82A59"/>
    <w:rsid w:val="59167285"/>
    <w:rsid w:val="5A42058A"/>
    <w:rsid w:val="5BB83D2C"/>
    <w:rsid w:val="5DB81EF7"/>
    <w:rsid w:val="5EE7053E"/>
    <w:rsid w:val="60F60E2D"/>
    <w:rsid w:val="61EF118E"/>
    <w:rsid w:val="65754FED"/>
    <w:rsid w:val="65D54C1A"/>
    <w:rsid w:val="66A43168"/>
    <w:rsid w:val="67412A0B"/>
    <w:rsid w:val="69440401"/>
    <w:rsid w:val="6A0B2DC0"/>
    <w:rsid w:val="6A6645DA"/>
    <w:rsid w:val="6B592765"/>
    <w:rsid w:val="6BC604C0"/>
    <w:rsid w:val="6C985B10"/>
    <w:rsid w:val="6F085F6C"/>
    <w:rsid w:val="6F812D3D"/>
    <w:rsid w:val="6FA40D24"/>
    <w:rsid w:val="745A256D"/>
    <w:rsid w:val="74980757"/>
    <w:rsid w:val="74EB625C"/>
    <w:rsid w:val="76786537"/>
    <w:rsid w:val="76FC64FF"/>
    <w:rsid w:val="791A4728"/>
    <w:rsid w:val="7A525805"/>
    <w:rsid w:val="7DB65260"/>
    <w:rsid w:val="7DEC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6">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0"/>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semiHidden/>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9">
    <w:name w:val="Document Map"/>
    <w:basedOn w:val="1"/>
    <w:link w:val="33"/>
    <w:semiHidden/>
    <w:unhideWhenUsed/>
    <w:qFormat/>
    <w:uiPriority w:val="99"/>
    <w:rPr>
      <w:rFonts w:ascii="宋体" w:eastAsia="宋体"/>
      <w:sz w:val="18"/>
      <w:szCs w:val="18"/>
    </w:rPr>
  </w:style>
  <w:style w:type="paragraph" w:styleId="10">
    <w:name w:val="annotation text"/>
    <w:basedOn w:val="1"/>
    <w:link w:val="26"/>
    <w:semiHidden/>
    <w:unhideWhenUsed/>
    <w:qFormat/>
    <w:uiPriority w:val="99"/>
    <w:pPr>
      <w:jc w:val="left"/>
    </w:pPr>
  </w:style>
  <w:style w:type="paragraph" w:styleId="11">
    <w:name w:val="Body Text Indent"/>
    <w:basedOn w:val="1"/>
    <w:link w:val="36"/>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27"/>
    <w:qFormat/>
    <w:uiPriority w:val="99"/>
    <w:pPr>
      <w:autoSpaceDE w:val="0"/>
      <w:autoSpaceDN w:val="0"/>
      <w:adjustRightInd w:val="0"/>
    </w:pPr>
    <w:rPr>
      <w:rFonts w:hint="eastAsia" w:hAnsi="Tms Rmn"/>
    </w:rPr>
  </w:style>
  <w:style w:type="paragraph" w:styleId="13">
    <w:name w:val="Date"/>
    <w:basedOn w:val="1"/>
    <w:next w:val="1"/>
    <w:link w:val="41"/>
    <w:semiHidden/>
    <w:unhideWhenUsed/>
    <w:qFormat/>
    <w:uiPriority w:val="99"/>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28"/>
    <w:semiHidden/>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itle"/>
    <w:basedOn w:val="1"/>
    <w:next w:val="1"/>
    <w:link w:val="43"/>
    <w:qFormat/>
    <w:uiPriority w:val="1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10"/>
    <w:next w:val="10"/>
    <w:link w:val="31"/>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0"/>
    <w:rPr>
      <w:sz w:val="21"/>
      <w:szCs w:val="21"/>
    </w:rPr>
  </w:style>
  <w:style w:type="character" w:customStyle="1" w:styleId="26">
    <w:name w:val="批注文字 字符"/>
    <w:basedOn w:val="23"/>
    <w:link w:val="10"/>
    <w:semiHidden/>
    <w:qFormat/>
    <w:uiPriority w:val="99"/>
  </w:style>
  <w:style w:type="character" w:customStyle="1" w:styleId="27">
    <w:name w:val="纯文本 字符"/>
    <w:basedOn w:val="23"/>
    <w:link w:val="12"/>
    <w:qFormat/>
    <w:uiPriority w:val="99"/>
    <w:rPr>
      <w:rFonts w:hAnsi="Tms Rmn"/>
      <w:kern w:val="2"/>
      <w:sz w:val="21"/>
      <w:szCs w:val="22"/>
    </w:rPr>
  </w:style>
  <w:style w:type="character" w:customStyle="1" w:styleId="28">
    <w:name w:val="批注框文本 字符"/>
    <w:basedOn w:val="23"/>
    <w:link w:val="15"/>
    <w:semiHidden/>
    <w:qFormat/>
    <w:uiPriority w:val="99"/>
    <w:rPr>
      <w:sz w:val="18"/>
      <w:szCs w:val="18"/>
    </w:rPr>
  </w:style>
  <w:style w:type="character" w:customStyle="1" w:styleId="29">
    <w:name w:val="页脚 字符"/>
    <w:basedOn w:val="23"/>
    <w:link w:val="16"/>
    <w:qFormat/>
    <w:uiPriority w:val="99"/>
    <w:rPr>
      <w:sz w:val="18"/>
      <w:szCs w:val="18"/>
    </w:rPr>
  </w:style>
  <w:style w:type="character" w:customStyle="1" w:styleId="30">
    <w:name w:val="页眉 字符"/>
    <w:basedOn w:val="23"/>
    <w:link w:val="17"/>
    <w:qFormat/>
    <w:uiPriority w:val="99"/>
    <w:rPr>
      <w:sz w:val="18"/>
      <w:szCs w:val="18"/>
    </w:rPr>
  </w:style>
  <w:style w:type="character" w:customStyle="1" w:styleId="31">
    <w:name w:val="批注主题 字符"/>
    <w:basedOn w:val="26"/>
    <w:link w:val="20"/>
    <w:semiHidden/>
    <w:qFormat/>
    <w:uiPriority w:val="99"/>
    <w:rPr>
      <w:b/>
      <w:bCs/>
    </w:rPr>
  </w:style>
  <w:style w:type="paragraph" w:styleId="32">
    <w:name w:val="List Paragraph"/>
    <w:basedOn w:val="1"/>
    <w:qFormat/>
    <w:uiPriority w:val="34"/>
    <w:pPr>
      <w:ind w:firstLine="420" w:firstLineChars="200"/>
    </w:pPr>
  </w:style>
  <w:style w:type="character" w:customStyle="1" w:styleId="33">
    <w:name w:val="文档结构图 字符"/>
    <w:basedOn w:val="23"/>
    <w:link w:val="9"/>
    <w:semiHidden/>
    <w:qFormat/>
    <w:uiPriority w:val="99"/>
    <w:rPr>
      <w:rFonts w:ascii="宋体" w:eastAsia="宋体"/>
      <w:kern w:val="2"/>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2 字符"/>
    <w:basedOn w:val="23"/>
    <w:link w:val="5"/>
    <w:qFormat/>
    <w:uiPriority w:val="0"/>
    <w:rPr>
      <w:rFonts w:hAnsi="宋体" w:cs="Arial"/>
      <w:b/>
      <w:bCs/>
      <w:iCs/>
      <w:kern w:val="2"/>
      <w:sz w:val="28"/>
      <w:szCs w:val="28"/>
    </w:rPr>
  </w:style>
  <w:style w:type="character" w:customStyle="1" w:styleId="36">
    <w:name w:val="正文文本缩进 字符"/>
    <w:basedOn w:val="23"/>
    <w:link w:val="11"/>
    <w:qFormat/>
    <w:uiPriority w:val="0"/>
    <w:rPr>
      <w:kern w:val="2"/>
      <w:sz w:val="30"/>
      <w:szCs w:val="24"/>
    </w:rPr>
  </w:style>
  <w:style w:type="character" w:customStyle="1" w:styleId="37">
    <w:name w:val="正文文本 字符"/>
    <w:basedOn w:val="23"/>
    <w:link w:val="2"/>
    <w:semiHidden/>
    <w:qFormat/>
    <w:uiPriority w:val="99"/>
    <w:rPr>
      <w:rFonts w:asciiTheme="minorHAnsi" w:hAnsiTheme="minorHAnsi" w:eastAsiaTheme="minorEastAsia" w:cstheme="minorBidi"/>
      <w:kern w:val="2"/>
      <w:sz w:val="21"/>
      <w:szCs w:val="22"/>
    </w:rPr>
  </w:style>
  <w:style w:type="character" w:customStyle="1" w:styleId="38">
    <w:name w:val="标题 1 字符"/>
    <w:basedOn w:val="23"/>
    <w:link w:val="4"/>
    <w:qFormat/>
    <w:uiPriority w:val="9"/>
    <w:rPr>
      <w:rFonts w:asciiTheme="minorHAnsi" w:hAnsiTheme="minorHAnsi" w:eastAsiaTheme="minorEastAsia" w:cstheme="minorBidi"/>
      <w:b/>
      <w:bCs/>
      <w:kern w:val="44"/>
      <w:sz w:val="44"/>
      <w:szCs w:val="44"/>
    </w:rPr>
  </w:style>
  <w:style w:type="character" w:customStyle="1" w:styleId="39">
    <w:name w:val="标题 3 字符"/>
    <w:basedOn w:val="23"/>
    <w:link w:val="6"/>
    <w:qFormat/>
    <w:uiPriority w:val="9"/>
    <w:rPr>
      <w:rFonts w:asciiTheme="minorHAnsi" w:hAnsiTheme="minorHAnsi" w:eastAsiaTheme="minorEastAsia" w:cstheme="minorBidi"/>
      <w:b/>
      <w:bCs/>
      <w:kern w:val="2"/>
      <w:sz w:val="32"/>
      <w:szCs w:val="32"/>
    </w:rPr>
  </w:style>
  <w:style w:type="character" w:customStyle="1" w:styleId="40">
    <w:name w:val="标题 5 字符"/>
    <w:basedOn w:val="23"/>
    <w:link w:val="8"/>
    <w:semiHidden/>
    <w:qFormat/>
    <w:uiPriority w:val="9"/>
    <w:rPr>
      <w:rFonts w:asciiTheme="minorHAnsi" w:hAnsiTheme="minorHAnsi" w:eastAsiaTheme="minorEastAsia" w:cstheme="minorBidi"/>
      <w:b/>
      <w:bCs/>
      <w:kern w:val="2"/>
      <w:sz w:val="28"/>
      <w:szCs w:val="28"/>
    </w:rPr>
  </w:style>
  <w:style w:type="character" w:customStyle="1" w:styleId="41">
    <w:name w:val="日期 字符"/>
    <w:basedOn w:val="23"/>
    <w:link w:val="13"/>
    <w:semiHidden/>
    <w:qFormat/>
    <w:uiPriority w:val="99"/>
    <w:rPr>
      <w:rFonts w:asciiTheme="minorHAnsi" w:hAnsiTheme="minorHAnsi" w:eastAsiaTheme="minorEastAsia" w:cstheme="minorBidi"/>
      <w:kern w:val="2"/>
      <w:sz w:val="21"/>
      <w:szCs w:val="22"/>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标题 字符"/>
    <w:basedOn w:val="23"/>
    <w:link w:val="19"/>
    <w:qFormat/>
    <w:uiPriority w:val="10"/>
    <w:rPr>
      <w:rFonts w:asciiTheme="majorHAnsi" w:hAnsiTheme="majorHAnsi" w:cstheme="majorBidi"/>
      <w:b/>
      <w:bCs/>
      <w:kern w:val="2"/>
      <w:sz w:val="32"/>
      <w:szCs w:val="32"/>
    </w:rPr>
  </w:style>
  <w:style w:type="character" w:customStyle="1" w:styleId="44">
    <w:name w:val="标题 4 字符"/>
    <w:basedOn w:val="23"/>
    <w:link w:val="7"/>
    <w:qFormat/>
    <w:uiPriority w:val="9"/>
    <w:rPr>
      <w:rFonts w:asciiTheme="majorHAnsi" w:hAnsiTheme="majorHAnsi" w:eastAsiaTheme="majorEastAsia" w:cstheme="majorBidi"/>
      <w:b/>
      <w:bCs/>
      <w:kern w:val="2"/>
      <w:sz w:val="28"/>
      <w:szCs w:val="28"/>
    </w:rPr>
  </w:style>
  <w:style w:type="paragraph" w:customStyle="1" w:styleId="45">
    <w:name w:val="正文首行缩进两字符"/>
    <w:basedOn w:val="1"/>
    <w:qFormat/>
    <w:uiPriority w:val="0"/>
    <w:pPr>
      <w:spacing w:line="360" w:lineRule="auto"/>
      <w:ind w:firstLine="200" w:firstLineChars="200"/>
    </w:pPr>
  </w:style>
  <w:style w:type="character" w:customStyle="1" w:styleId="46">
    <w:name w:val="font11"/>
    <w:qFormat/>
    <w:uiPriority w:val="0"/>
    <w:rPr>
      <w:rFonts w:hint="eastAsia" w:ascii="宋体" w:hAnsi="宋体" w:eastAsia="宋体" w:cs="宋体"/>
      <w:b/>
      <w:color w:val="000000"/>
      <w:sz w:val="22"/>
      <w:szCs w:val="22"/>
      <w:u w:val="none"/>
    </w:rPr>
  </w:style>
  <w:style w:type="character" w:customStyle="1" w:styleId="47">
    <w:name w:val="font01"/>
    <w:qFormat/>
    <w:uiPriority w:val="0"/>
    <w:rPr>
      <w:rFonts w:hint="eastAsia" w:ascii="宋体" w:hAnsi="宋体" w:eastAsia="宋体" w:cs="宋体"/>
      <w:color w:val="000000"/>
      <w:sz w:val="22"/>
      <w:szCs w:val="22"/>
      <w:u w:val="none"/>
    </w:rPr>
  </w:style>
  <w:style w:type="paragraph" w:customStyle="1" w:styleId="48">
    <w:name w:val="BodyText"/>
    <w:qFormat/>
    <w:uiPriority w:val="0"/>
    <w:pPr>
      <w:framePr w:wrap="around" w:vAnchor="margin" w:hAnchor="text" w:yAlign="top"/>
      <w:widowControl w:val="0"/>
      <w:spacing w:after="120"/>
      <w:jc w:val="both"/>
    </w:pPr>
    <w:rPr>
      <w:rFonts w:ascii="Calibri" w:hAnsi="Calibri"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5.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6.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Props1.xml><?xml version="1.0" encoding="utf-8"?>
<ds:datastoreItem xmlns:ds="http://schemas.openxmlformats.org/officeDocument/2006/customXml" ds:itemID="{0D29DEB7-0AB0-43CE-9891-F7E7FF651146}">
  <ds:schemaRefs/>
</ds:datastoreItem>
</file>

<file path=customXml/itemProps2.xml><?xml version="1.0" encoding="utf-8"?>
<ds:datastoreItem xmlns:ds="http://schemas.openxmlformats.org/officeDocument/2006/customXml" ds:itemID="{9A171ECC-DCE4-4329-8E23-829DC1EC9571}">
  <ds:schemaRefs/>
</ds:datastoreItem>
</file>

<file path=customXml/itemProps3.xml><?xml version="1.0" encoding="utf-8"?>
<ds:datastoreItem xmlns:ds="http://schemas.openxmlformats.org/officeDocument/2006/customXml" ds:itemID="{40B5D416-2B2A-41C8-86BF-C2EAF1BC8D57}">
  <ds:schemaRefs/>
</ds:datastoreItem>
</file>

<file path=customXml/itemProps4.xml><?xml version="1.0" encoding="utf-8"?>
<ds:datastoreItem xmlns:ds="http://schemas.openxmlformats.org/officeDocument/2006/customXml" ds:itemID="{66A9DA44-677C-4C79-8769-DC1F1F71ED17}">
  <ds:schemaRefs/>
</ds:datastoreItem>
</file>

<file path=customXml/itemProps5.xml><?xml version="1.0" encoding="utf-8"?>
<ds:datastoreItem xmlns:ds="http://schemas.openxmlformats.org/officeDocument/2006/customXml" ds:itemID="{DFA7DC2B-A850-4E12-9B4E-B1F7082CCF40}">
  <ds:schemaRefs/>
</ds:datastoreItem>
</file>

<file path=customXml/itemProps6.xml><?xml version="1.0" encoding="utf-8"?>
<ds:datastoreItem xmlns:ds="http://schemas.openxmlformats.org/officeDocument/2006/customXml" ds:itemID="{B86E83BB-9477-46F9-8716-7461325FDE14}">
  <ds:schemaRefs/>
</ds:datastoreItem>
</file>

<file path=docProps/app.xml><?xml version="1.0" encoding="utf-8"?>
<Properties xmlns="http://schemas.openxmlformats.org/officeDocument/2006/extended-properties" xmlns:vt="http://schemas.openxmlformats.org/officeDocument/2006/docPropsVTypes">
  <Template>Normal</Template>
  <Company>懒人工作室</Company>
  <Pages>32</Pages>
  <Words>13060</Words>
  <Characters>13634</Characters>
  <Lines>56</Lines>
  <Paragraphs>16</Paragraphs>
  <TotalTime>20</TotalTime>
  <ScaleCrop>false</ScaleCrop>
  <LinksUpToDate>false</LinksUpToDate>
  <CharactersWithSpaces>14148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2021-04-06T08:11:00Z</dcterms:created>
  <dc:creator>文星</dc:creator>
  <cp:lastModifiedBy>v</cp:lastModifiedBy>
  <cp:lastPrinted>2023-03-16T00:52:00Z</cp:lastPrinted>
  <dcterms:modified xsi:type="dcterms:W3CDTF">2023-03-17T01:15:29Z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CDA91259A28C48048DA1C7818208CE4D</vt:lpwstr>
  </property>
</Properties>
</file>